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7"/>
          <w:rFonts w:hint="eastAsia" w:ascii="仿宋_GB2312" w:hAnsi="仿宋_GB2312" w:eastAsia="仿宋_GB2312" w:cs="仿宋_GB2312"/>
          <w:bCs w:val="0"/>
          <w:color w:val="000000"/>
          <w:szCs w:val="21"/>
          <w:lang w:val="en-US" w:eastAsia="zh-CN"/>
        </w:rPr>
      </w:pPr>
      <w:r>
        <w:rPr>
          <w:rStyle w:val="7"/>
          <w:rFonts w:hint="eastAsia" w:ascii="仿宋_GB2312" w:hAnsi="仿宋_GB2312" w:eastAsia="仿宋_GB2312" w:cs="仿宋_GB2312"/>
          <w:bCs w:val="0"/>
          <w:color w:val="000000"/>
          <w:szCs w:val="21"/>
        </w:rPr>
        <w:t>附件</w:t>
      </w:r>
      <w:r>
        <w:rPr>
          <w:rStyle w:val="7"/>
          <w:rFonts w:hint="eastAsia" w:ascii="仿宋_GB2312" w:hAnsi="仿宋_GB2312" w:eastAsia="仿宋_GB2312" w:cs="仿宋_GB2312"/>
          <w:bCs w:val="0"/>
          <w:color w:val="000000"/>
          <w:szCs w:val="21"/>
          <w:lang w:val="en-US" w:eastAsia="zh-CN"/>
        </w:rPr>
        <w:t>1</w:t>
      </w:r>
    </w:p>
    <w:p>
      <w:pPr>
        <w:jc w:val="center"/>
        <w:rPr>
          <w:rStyle w:val="7"/>
          <w:rFonts w:ascii="仿宋_GB2312" w:hAnsi="仿宋_GB2312" w:eastAsia="仿宋_GB2312" w:cs="仿宋_GB2312"/>
          <w:bCs w:val="0"/>
          <w:color w:val="000000"/>
          <w:szCs w:val="21"/>
        </w:rPr>
      </w:pPr>
      <w:r>
        <w:rPr>
          <w:rStyle w:val="7"/>
          <w:rFonts w:hint="eastAsia" w:ascii="仿宋_GB2312" w:hAnsi="仿宋_GB2312" w:eastAsia="仿宋_GB2312" w:cs="仿宋_GB2312"/>
          <w:bCs w:val="0"/>
          <w:color w:val="000000"/>
          <w:szCs w:val="21"/>
        </w:rPr>
        <w:t>淮安市建设工程招标控制价编制质量检查汇总表1</w:t>
      </w:r>
    </w:p>
    <w:tbl>
      <w:tblPr>
        <w:tblStyle w:val="8"/>
        <w:tblW w:w="14296" w:type="dxa"/>
        <w:tblInd w:w="-562" w:type="dxa"/>
        <w:tblLayout w:type="fixed"/>
        <w:tblCellMar>
          <w:top w:w="0" w:type="dxa"/>
          <w:left w:w="0" w:type="dxa"/>
          <w:bottom w:w="0" w:type="dxa"/>
          <w:right w:w="0" w:type="dxa"/>
        </w:tblCellMar>
      </w:tblPr>
      <w:tblGrid>
        <w:gridCol w:w="567"/>
        <w:gridCol w:w="1831"/>
        <w:gridCol w:w="2280"/>
        <w:gridCol w:w="703"/>
        <w:gridCol w:w="715"/>
        <w:gridCol w:w="992"/>
        <w:gridCol w:w="992"/>
        <w:gridCol w:w="709"/>
        <w:gridCol w:w="709"/>
        <w:gridCol w:w="992"/>
        <w:gridCol w:w="992"/>
        <w:gridCol w:w="851"/>
        <w:gridCol w:w="728"/>
        <w:gridCol w:w="709"/>
        <w:gridCol w:w="526"/>
      </w:tblGrid>
      <w:tr>
        <w:tblPrEx>
          <w:tblLayout w:type="fixed"/>
          <w:tblCellMar>
            <w:top w:w="0" w:type="dxa"/>
            <w:left w:w="0" w:type="dxa"/>
            <w:bottom w:w="0" w:type="dxa"/>
            <w:right w:w="0" w:type="dxa"/>
          </w:tblCellMar>
        </w:tblPrEx>
        <w:trPr>
          <w:trHeight w:val="555" w:hRule="atLeast"/>
        </w:trPr>
        <w:tc>
          <w:tcPr>
            <w:tcW w:w="567"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color w:val="000000"/>
                <w:szCs w:val="21"/>
              </w:rPr>
            </w:pPr>
            <w:r>
              <w:rPr>
                <w:rStyle w:val="7"/>
                <w:rFonts w:hint="eastAsia" w:ascii="仿宋_GB2312" w:hAnsi="仿宋_GB2312" w:eastAsia="仿宋_GB2312" w:cs="仿宋_GB2312"/>
                <w:color w:val="000000"/>
                <w:szCs w:val="21"/>
              </w:rPr>
              <w:t>序号</w:t>
            </w:r>
          </w:p>
        </w:tc>
        <w:tc>
          <w:tcPr>
            <w:tcW w:w="18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单位名称</w:t>
            </w:r>
          </w:p>
        </w:tc>
        <w:tc>
          <w:tcPr>
            <w:tcW w:w="22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抽检项目名称</w:t>
            </w:r>
          </w:p>
        </w:tc>
        <w:tc>
          <w:tcPr>
            <w:tcW w:w="703" w:type="dxa"/>
            <w:vMerge w:val="restart"/>
            <w:tcBorders>
              <w:top w:val="single" w:color="auto" w:sz="4" w:space="0"/>
              <w:left w:val="single" w:color="auto" w:sz="4" w:space="0"/>
              <w:bottom w:val="single" w:color="000000" w:sz="4" w:space="0"/>
              <w:right w:val="single" w:color="auto" w:sz="4" w:space="0"/>
            </w:tcBorders>
            <w:vAlign w:val="center"/>
          </w:tcPr>
          <w:p>
            <w:pPr>
              <w:jc w:val="center"/>
              <w:rPr>
                <w:rFonts w:ascii="仿宋_GB2312" w:hAnsi="仿宋_GB2312" w:eastAsia="仿宋_GB2312" w:cs="仿宋_GB2312"/>
                <w:color w:val="000000"/>
                <w:szCs w:val="21"/>
              </w:rPr>
            </w:pPr>
            <w:r>
              <w:rPr>
                <w:rStyle w:val="7"/>
                <w:rFonts w:hint="eastAsia" w:ascii="仿宋_GB2312" w:hAnsi="仿宋_GB2312" w:eastAsia="仿宋_GB2312" w:cs="仿宋_GB2312"/>
                <w:color w:val="000000"/>
                <w:szCs w:val="21"/>
              </w:rPr>
              <w:t>专  业</w:t>
            </w:r>
          </w:p>
        </w:tc>
        <w:tc>
          <w:tcPr>
            <w:tcW w:w="5109" w:type="dxa"/>
            <w:gridSpan w:val="6"/>
            <w:tcBorders>
              <w:top w:val="single" w:color="auto" w:sz="4" w:space="0"/>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Style w:val="7"/>
                <w:rFonts w:hint="eastAsia" w:ascii="仿宋_GB2312" w:hAnsi="仿宋_GB2312" w:eastAsia="仿宋_GB2312" w:cs="仿宋_GB2312"/>
                <w:color w:val="000000"/>
                <w:szCs w:val="21"/>
              </w:rPr>
              <w:t>清单部分（%）</w:t>
            </w:r>
          </w:p>
        </w:tc>
        <w:tc>
          <w:tcPr>
            <w:tcW w:w="3806" w:type="dxa"/>
            <w:gridSpan w:val="5"/>
            <w:tcBorders>
              <w:top w:val="single" w:color="auto" w:sz="4" w:space="0"/>
              <w:left w:val="single" w:color="auto" w:sz="4" w:space="0"/>
              <w:bottom w:val="single" w:color="auto" w:sz="4" w:space="0"/>
              <w:right w:val="single" w:color="000000" w:sz="4" w:space="0"/>
            </w:tcBorders>
            <w:vAlign w:val="center"/>
          </w:tcPr>
          <w:p>
            <w:pPr>
              <w:jc w:val="center"/>
              <w:rPr>
                <w:rFonts w:ascii="仿宋_GB2312" w:hAnsi="仿宋_GB2312" w:eastAsia="仿宋_GB2312" w:cs="仿宋_GB2312"/>
                <w:color w:val="000000"/>
                <w:szCs w:val="21"/>
              </w:rPr>
            </w:pPr>
            <w:r>
              <w:rPr>
                <w:rStyle w:val="7"/>
                <w:rFonts w:hint="eastAsia" w:ascii="仿宋_GB2312" w:hAnsi="仿宋_GB2312" w:eastAsia="仿宋_GB2312" w:cs="仿宋_GB2312"/>
                <w:color w:val="000000"/>
                <w:szCs w:val="21"/>
              </w:rPr>
              <w:t>招标控制价部分（%）</w:t>
            </w:r>
          </w:p>
        </w:tc>
      </w:tr>
      <w:tr>
        <w:tblPrEx>
          <w:tblLayout w:type="fixed"/>
          <w:tblCellMar>
            <w:top w:w="0" w:type="dxa"/>
            <w:left w:w="0" w:type="dxa"/>
            <w:bottom w:w="0" w:type="dxa"/>
            <w:right w:w="0" w:type="dxa"/>
          </w:tblCellMar>
        </w:tblPrEx>
        <w:trPr>
          <w:trHeight w:val="1043" w:hRule="atLeast"/>
        </w:trPr>
        <w:tc>
          <w:tcPr>
            <w:tcW w:w="5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仿宋_GB2312"/>
                <w:color w:val="000000"/>
                <w:szCs w:val="21"/>
              </w:rPr>
            </w:pPr>
          </w:p>
        </w:tc>
        <w:tc>
          <w:tcPr>
            <w:tcW w:w="18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仿宋_GB2312"/>
                <w:color w:val="000000"/>
                <w:szCs w:val="21"/>
              </w:rPr>
            </w:pPr>
          </w:p>
        </w:tc>
        <w:tc>
          <w:tcPr>
            <w:tcW w:w="22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仿宋_GB2312"/>
                <w:color w:val="000000"/>
                <w:szCs w:val="21"/>
              </w:rPr>
            </w:pPr>
          </w:p>
        </w:tc>
        <w:tc>
          <w:tcPr>
            <w:tcW w:w="70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仿宋_GB2312" w:eastAsia="仿宋_GB2312" w:cs="仿宋_GB2312"/>
                <w:color w:val="000000"/>
                <w:szCs w:val="21"/>
              </w:rPr>
            </w:pPr>
          </w:p>
        </w:tc>
        <w:tc>
          <w:tcPr>
            <w:tcW w:w="71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清单项目漏项率</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清单工程量计算错误率</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项目特征描述不完整率</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控制价与清单不一致</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计量单位错误率</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综合单价组价不完整或错误</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分部分项工程费误差率</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措施项目费误差率</w:t>
            </w:r>
          </w:p>
        </w:tc>
        <w:tc>
          <w:tcPr>
            <w:tcW w:w="7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其他项目费误差率</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规费、税金误差率</w:t>
            </w:r>
          </w:p>
        </w:tc>
        <w:tc>
          <w:tcPr>
            <w:tcW w:w="5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总价</w:t>
            </w:r>
          </w:p>
          <w:p>
            <w:pPr>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误差率</w:t>
            </w:r>
          </w:p>
        </w:tc>
      </w:tr>
      <w:tr>
        <w:tblPrEx>
          <w:tblLayout w:type="fixed"/>
          <w:tblCellMar>
            <w:top w:w="0" w:type="dxa"/>
            <w:left w:w="0" w:type="dxa"/>
            <w:bottom w:w="0" w:type="dxa"/>
            <w:right w:w="0" w:type="dxa"/>
          </w:tblCellMar>
        </w:tblPrEx>
        <w:trPr>
          <w:trHeight w:val="954"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w:t>
            </w:r>
          </w:p>
        </w:tc>
        <w:tc>
          <w:tcPr>
            <w:tcW w:w="1831"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江苏苏世建设项目管理有限公司</w:t>
            </w:r>
          </w:p>
        </w:tc>
        <w:tc>
          <w:tcPr>
            <w:tcW w:w="2280" w:type="dxa"/>
            <w:shd w:val="clear" w:color="auto" w:fill="FFFFFF"/>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淮安高铁商务区站前滨水休闲区项目（桥梁部分</w:t>
            </w:r>
            <w:r>
              <w:rPr>
                <w:rFonts w:ascii="仿宋_GB2312" w:hAnsi="仿宋_GB2312" w:eastAsia="仿宋_GB2312" w:cs="仿宋_GB2312"/>
                <w:color w:val="000000"/>
                <w:szCs w:val="21"/>
              </w:rPr>
              <w:t>）</w:t>
            </w:r>
          </w:p>
        </w:tc>
        <w:tc>
          <w:tcPr>
            <w:tcW w:w="703"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市政</w:t>
            </w:r>
          </w:p>
        </w:tc>
        <w:tc>
          <w:tcPr>
            <w:tcW w:w="71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6.4</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0.49</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6.06</w:t>
            </w:r>
          </w:p>
        </w:tc>
        <w:tc>
          <w:tcPr>
            <w:tcW w:w="7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1.01</w:t>
            </w:r>
          </w:p>
        </w:tc>
        <w:tc>
          <w:tcPr>
            <w:tcW w:w="5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1.01</w:t>
            </w:r>
          </w:p>
        </w:tc>
      </w:tr>
      <w:tr>
        <w:tblPrEx>
          <w:tblLayout w:type="fixed"/>
          <w:tblCellMar>
            <w:top w:w="0" w:type="dxa"/>
            <w:left w:w="0" w:type="dxa"/>
            <w:bottom w:w="0" w:type="dxa"/>
            <w:right w:w="0" w:type="dxa"/>
          </w:tblCellMar>
        </w:tblPrEx>
        <w:trPr>
          <w:trHeight w:val="1119"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w:t>
            </w:r>
          </w:p>
        </w:tc>
        <w:tc>
          <w:tcPr>
            <w:tcW w:w="1831"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江苏立信建设工程造价咨询有限公司</w:t>
            </w:r>
          </w:p>
        </w:tc>
        <w:tc>
          <w:tcPr>
            <w:tcW w:w="2280" w:type="dxa"/>
            <w:tcBorders>
              <w:top w:val="single" w:color="auto" w:sz="4" w:space="0"/>
              <w:left w:val="nil"/>
              <w:bottom w:val="single" w:color="auto" w:sz="4" w:space="0"/>
              <w:right w:val="single" w:color="auto" w:sz="4" w:space="0"/>
            </w:tcBorders>
            <w:shd w:val="clear" w:color="auto" w:fill="FFFFFF"/>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淮安市外国语实验小学校安工程项目建安工程</w:t>
            </w:r>
          </w:p>
        </w:tc>
        <w:tc>
          <w:tcPr>
            <w:tcW w:w="7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土建</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安装</w:t>
            </w:r>
          </w:p>
        </w:tc>
        <w:tc>
          <w:tcPr>
            <w:tcW w:w="715" w:type="dxa"/>
            <w:tcBorders>
              <w:top w:val="nil"/>
              <w:left w:val="nil"/>
              <w:bottom w:val="single" w:color="auto" w:sz="4" w:space="0"/>
              <w:right w:val="single" w:color="auto" w:sz="4" w:space="0"/>
            </w:tcBorders>
            <w:vAlign w:val="center"/>
          </w:tcPr>
          <w:p>
            <w:pP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0.09</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0.09</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11.85</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0.08</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0.69</w:t>
            </w:r>
          </w:p>
        </w:tc>
        <w:tc>
          <w:tcPr>
            <w:tcW w:w="7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2.4</w:t>
            </w:r>
          </w:p>
        </w:tc>
        <w:tc>
          <w:tcPr>
            <w:tcW w:w="5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0.31</w:t>
            </w:r>
          </w:p>
        </w:tc>
      </w:tr>
      <w:tr>
        <w:tblPrEx>
          <w:tblLayout w:type="fixed"/>
          <w:tblCellMar>
            <w:top w:w="0" w:type="dxa"/>
            <w:left w:w="0" w:type="dxa"/>
            <w:bottom w:w="0" w:type="dxa"/>
            <w:right w:w="0" w:type="dxa"/>
          </w:tblCellMar>
        </w:tblPrEx>
        <w:trPr>
          <w:trHeight w:val="1121"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w:t>
            </w:r>
          </w:p>
        </w:tc>
        <w:tc>
          <w:tcPr>
            <w:tcW w:w="1831"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江苏天业工程咨询房地产估价有限责任公司</w:t>
            </w:r>
          </w:p>
        </w:tc>
        <w:tc>
          <w:tcPr>
            <w:tcW w:w="2280" w:type="dxa"/>
            <w:tcBorders>
              <w:top w:val="nil"/>
              <w:left w:val="nil"/>
              <w:bottom w:val="single" w:color="auto" w:sz="4" w:space="0"/>
              <w:right w:val="single" w:color="auto" w:sz="4" w:space="0"/>
            </w:tcBorders>
            <w:shd w:val="clear" w:color="auto" w:fill="FFFFFF"/>
            <w:vAlign w:val="center"/>
          </w:tcPr>
          <w:p>
            <w:pPr>
              <w:widowControl/>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淮安市现代农业技能公共实训基地综合楼桩基工程</w:t>
            </w:r>
          </w:p>
        </w:tc>
        <w:tc>
          <w:tcPr>
            <w:tcW w:w="7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桩基</w:t>
            </w:r>
          </w:p>
        </w:tc>
        <w:tc>
          <w:tcPr>
            <w:tcW w:w="71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0.06</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0.06</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0.04</w:t>
            </w:r>
          </w:p>
        </w:tc>
        <w:tc>
          <w:tcPr>
            <w:tcW w:w="7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0.06</w:t>
            </w:r>
          </w:p>
        </w:tc>
        <w:tc>
          <w:tcPr>
            <w:tcW w:w="5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0.06</w:t>
            </w:r>
          </w:p>
        </w:tc>
      </w:tr>
      <w:tr>
        <w:tblPrEx>
          <w:tblLayout w:type="fixed"/>
          <w:tblCellMar>
            <w:top w:w="0" w:type="dxa"/>
            <w:left w:w="0" w:type="dxa"/>
            <w:bottom w:w="0" w:type="dxa"/>
            <w:right w:w="0" w:type="dxa"/>
          </w:tblCellMar>
        </w:tblPrEx>
        <w:trPr>
          <w:trHeight w:val="1261"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1831"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江苏建瑞工程咨询有限公司</w:t>
            </w:r>
          </w:p>
        </w:tc>
        <w:tc>
          <w:tcPr>
            <w:tcW w:w="228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淮安市淮钢三期经济适用房项目景观绿化工程</w:t>
            </w:r>
          </w:p>
        </w:tc>
        <w:tc>
          <w:tcPr>
            <w:tcW w:w="703"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绿化</w:t>
            </w:r>
          </w:p>
        </w:tc>
        <w:tc>
          <w:tcPr>
            <w:tcW w:w="715"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0.5</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3.7</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2.6</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0.11</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0.17</w:t>
            </w:r>
          </w:p>
        </w:tc>
        <w:tc>
          <w:tcPr>
            <w:tcW w:w="7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w:t>
            </w:r>
          </w:p>
        </w:tc>
        <w:tc>
          <w:tcPr>
            <w:tcW w:w="5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0.1</w:t>
            </w:r>
          </w:p>
        </w:tc>
      </w:tr>
      <w:tr>
        <w:tblPrEx>
          <w:tblLayout w:type="fixed"/>
          <w:tblCellMar>
            <w:top w:w="0" w:type="dxa"/>
            <w:left w:w="0" w:type="dxa"/>
            <w:bottom w:w="0" w:type="dxa"/>
            <w:right w:w="0" w:type="dxa"/>
          </w:tblCellMar>
        </w:tblPrEx>
        <w:trPr>
          <w:trHeight w:val="815" w:hRule="atLeast"/>
        </w:trPr>
        <w:tc>
          <w:tcPr>
            <w:tcW w:w="567" w:type="dxa"/>
            <w:tcBorders>
              <w:top w:val="nil"/>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w:t>
            </w:r>
          </w:p>
        </w:tc>
        <w:tc>
          <w:tcPr>
            <w:tcW w:w="1831"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江苏永勤工程管理有限公司</w:t>
            </w:r>
          </w:p>
        </w:tc>
        <w:tc>
          <w:tcPr>
            <w:tcW w:w="2280" w:type="dxa"/>
            <w:tcBorders>
              <w:top w:val="nil"/>
              <w:left w:val="nil"/>
              <w:bottom w:val="single" w:color="auto" w:sz="4" w:space="0"/>
              <w:right w:val="single" w:color="auto" w:sz="4" w:space="0"/>
            </w:tcBorders>
            <w:shd w:val="clear" w:color="auto" w:fill="FFFFFF"/>
            <w:vAlign w:val="center"/>
          </w:tcPr>
          <w:p>
            <w:pPr>
              <w:widowControl/>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江苏省淮阴中学教育集团新城高级中学墙面及楼地面装饰工程</w:t>
            </w:r>
          </w:p>
        </w:tc>
        <w:tc>
          <w:tcPr>
            <w:tcW w:w="703" w:type="dxa"/>
            <w:tcBorders>
              <w:top w:val="nil"/>
              <w:left w:val="nil"/>
              <w:bottom w:val="single" w:color="auto" w:sz="4" w:space="0"/>
              <w:right w:val="nil"/>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装饰</w:t>
            </w:r>
          </w:p>
        </w:tc>
        <w:tc>
          <w:tcPr>
            <w:tcW w:w="715" w:type="dxa"/>
            <w:tcBorders>
              <w:top w:val="nil"/>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6.38</w:t>
            </w:r>
          </w:p>
        </w:tc>
        <w:tc>
          <w:tcPr>
            <w:tcW w:w="992"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1.25</w:t>
            </w:r>
          </w:p>
        </w:tc>
        <w:tc>
          <w:tcPr>
            <w:tcW w:w="851"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0.84</w:t>
            </w:r>
          </w:p>
        </w:tc>
        <w:tc>
          <w:tcPr>
            <w:tcW w:w="728"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p>
        </w:tc>
        <w:tc>
          <w:tcPr>
            <w:tcW w:w="709"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1.23</w:t>
            </w:r>
          </w:p>
        </w:tc>
        <w:tc>
          <w:tcPr>
            <w:tcW w:w="526" w:type="dxa"/>
            <w:tcBorders>
              <w:top w:val="nil"/>
              <w:left w:val="nil"/>
              <w:bottom w:val="single" w:color="auto" w:sz="4" w:space="0"/>
              <w:right w:val="single" w:color="auto" w:sz="4" w:space="0"/>
            </w:tcBorders>
            <w:vAlign w:val="center"/>
          </w:tcPr>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1.23</w:t>
            </w:r>
          </w:p>
        </w:tc>
      </w:tr>
    </w:tbl>
    <w:p>
      <w:pPr>
        <w:spacing w:line="240" w:lineRule="atLeast"/>
        <w:ind w:firstLine="360" w:firstLineChars="200"/>
        <w:rPr>
          <w:rFonts w:ascii="仿宋_GB2312" w:hAnsi="仿宋_GB2312" w:eastAsia="仿宋_GB2312" w:cs="仿宋_GB2312"/>
          <w:color w:val="000000"/>
          <w:sz w:val="18"/>
          <w:szCs w:val="18"/>
        </w:rPr>
      </w:pPr>
    </w:p>
    <w:p>
      <w:pPr>
        <w:spacing w:line="240" w:lineRule="atLeast"/>
        <w:ind w:firstLine="360" w:firstLineChars="200"/>
        <w:rPr>
          <w:rFonts w:ascii="仿宋_GB2312" w:hAnsi="仿宋_GB2312" w:eastAsia="仿宋_GB2312" w:cs="仿宋_GB2312"/>
          <w:color w:val="000000"/>
          <w:sz w:val="18"/>
          <w:szCs w:val="18"/>
        </w:rPr>
      </w:pPr>
    </w:p>
    <w:p>
      <w:pPr>
        <w:spacing w:line="240" w:lineRule="atLeast"/>
        <w:ind w:firstLine="360" w:firstLineChars="200"/>
        <w:rPr>
          <w:rFonts w:ascii="仿宋_GB2312" w:hAnsi="仿宋_GB2312" w:eastAsia="仿宋_GB2312" w:cs="仿宋_GB2312"/>
          <w:color w:val="000000"/>
          <w:sz w:val="18"/>
          <w:szCs w:val="18"/>
        </w:rPr>
      </w:pPr>
    </w:p>
    <w:tbl>
      <w:tblPr>
        <w:tblStyle w:val="8"/>
        <w:tblpPr w:leftFromText="180" w:rightFromText="180" w:vertAnchor="text" w:horzAnchor="page" w:tblpX="1152" w:tblpY="18"/>
        <w:tblOverlap w:val="never"/>
        <w:tblW w:w="14992" w:type="dxa"/>
        <w:tblInd w:w="0" w:type="dxa"/>
        <w:tblLayout w:type="fixed"/>
        <w:tblCellMar>
          <w:top w:w="0" w:type="dxa"/>
          <w:left w:w="108" w:type="dxa"/>
          <w:bottom w:w="0" w:type="dxa"/>
          <w:right w:w="108" w:type="dxa"/>
        </w:tblCellMar>
      </w:tblPr>
      <w:tblGrid>
        <w:gridCol w:w="669"/>
        <w:gridCol w:w="2133"/>
        <w:gridCol w:w="2268"/>
        <w:gridCol w:w="850"/>
        <w:gridCol w:w="9072"/>
      </w:tblGrid>
      <w:tr>
        <w:tblPrEx>
          <w:tblLayout w:type="fixed"/>
          <w:tblCellMar>
            <w:top w:w="0" w:type="dxa"/>
            <w:left w:w="108" w:type="dxa"/>
            <w:bottom w:w="0" w:type="dxa"/>
            <w:right w:w="108" w:type="dxa"/>
          </w:tblCellMar>
        </w:tblPrEx>
        <w:trPr>
          <w:trHeight w:val="390" w:hRule="atLeast"/>
        </w:trPr>
        <w:tc>
          <w:tcPr>
            <w:tcW w:w="14992" w:type="dxa"/>
            <w:gridSpan w:val="5"/>
            <w:tcBorders>
              <w:top w:val="nil"/>
              <w:left w:val="nil"/>
              <w:bottom w:val="single" w:color="000000" w:sz="4" w:space="0"/>
              <w:right w:val="nil"/>
            </w:tcBorders>
            <w:shd w:val="clear" w:color="auto" w:fill="auto"/>
            <w:vAlign w:val="center"/>
          </w:tcPr>
          <w:p>
            <w:pPr>
              <w:jc w:val="left"/>
              <w:rPr>
                <w:rFonts w:ascii="仿宋_GB2312" w:hAnsi="仿宋_GB2312" w:eastAsia="仿宋_GB2312" w:cs="仿宋_GB2312"/>
                <w:szCs w:val="21"/>
              </w:rPr>
            </w:pPr>
            <w:r>
              <w:rPr>
                <w:rStyle w:val="7"/>
                <w:rFonts w:hint="eastAsia" w:ascii="仿宋_GB2312" w:hAnsi="仿宋_GB2312" w:eastAsia="仿宋_GB2312" w:cs="仿宋_GB2312"/>
                <w:bCs w:val="0"/>
                <w:color w:val="000000"/>
                <w:szCs w:val="21"/>
              </w:rPr>
              <w:t>附件2：                           淮安市建设工程招标控制价编制质量检查汇总表2</w:t>
            </w:r>
          </w:p>
        </w:tc>
      </w:tr>
      <w:tr>
        <w:tblPrEx>
          <w:tblLayout w:type="fixed"/>
          <w:tblCellMar>
            <w:top w:w="0" w:type="dxa"/>
            <w:left w:w="108" w:type="dxa"/>
            <w:bottom w:w="0" w:type="dxa"/>
            <w:right w:w="108" w:type="dxa"/>
          </w:tblCellMar>
        </w:tblPrEx>
        <w:trPr>
          <w:trHeight w:val="345" w:hRule="atLeast"/>
        </w:trPr>
        <w:tc>
          <w:tcPr>
            <w:tcW w:w="669" w:type="dxa"/>
            <w:tcBorders>
              <w:top w:val="nil"/>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序号</w:t>
            </w:r>
          </w:p>
        </w:tc>
        <w:tc>
          <w:tcPr>
            <w:tcW w:w="2133" w:type="dxa"/>
            <w:tcBorders>
              <w:top w:val="nil"/>
              <w:left w:val="nil"/>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单位名称</w:t>
            </w:r>
          </w:p>
        </w:tc>
        <w:tc>
          <w:tcPr>
            <w:tcW w:w="2268" w:type="dxa"/>
            <w:tcBorders>
              <w:top w:val="nil"/>
              <w:left w:val="nil"/>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抽检项目名称</w:t>
            </w:r>
          </w:p>
        </w:tc>
        <w:tc>
          <w:tcPr>
            <w:tcW w:w="850" w:type="dxa"/>
            <w:tcBorders>
              <w:top w:val="nil"/>
              <w:left w:val="nil"/>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编制人</w:t>
            </w:r>
          </w:p>
        </w:tc>
        <w:tc>
          <w:tcPr>
            <w:tcW w:w="9072" w:type="dxa"/>
            <w:tcBorders>
              <w:top w:val="nil"/>
              <w:left w:val="nil"/>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存在的主要问题</w:t>
            </w:r>
          </w:p>
        </w:tc>
      </w:tr>
      <w:tr>
        <w:tblPrEx>
          <w:tblLayout w:type="fixed"/>
          <w:tblCellMar>
            <w:top w:w="0" w:type="dxa"/>
            <w:left w:w="108" w:type="dxa"/>
            <w:bottom w:w="0" w:type="dxa"/>
            <w:right w:w="108" w:type="dxa"/>
          </w:tblCellMar>
        </w:tblPrEx>
        <w:trPr>
          <w:trHeight w:val="870" w:hRule="atLeast"/>
        </w:trPr>
        <w:tc>
          <w:tcPr>
            <w:tcW w:w="669"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w:t>
            </w:r>
          </w:p>
        </w:tc>
        <w:tc>
          <w:tcPr>
            <w:tcW w:w="2133" w:type="dxa"/>
            <w:tcBorders>
              <w:top w:val="nil"/>
              <w:left w:val="nil"/>
              <w:bottom w:val="single" w:color="000000" w:sz="4" w:space="0"/>
              <w:right w:val="single" w:color="000000" w:sz="4" w:space="0"/>
            </w:tcBorders>
            <w:shd w:val="clear" w:color="auto" w:fill="FFFFFF"/>
            <w:vAlign w:val="center"/>
          </w:tcPr>
          <w:p>
            <w:pPr>
              <w:widowControl/>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江苏苏世建设项目管理有限公司</w:t>
            </w:r>
          </w:p>
        </w:tc>
        <w:tc>
          <w:tcPr>
            <w:tcW w:w="2268" w:type="dxa"/>
            <w:tcBorders>
              <w:top w:val="nil"/>
              <w:left w:val="nil"/>
              <w:bottom w:val="single" w:color="000000" w:sz="4" w:space="0"/>
              <w:right w:val="single" w:color="000000" w:sz="4" w:space="0"/>
            </w:tcBorders>
            <w:shd w:val="clear" w:color="auto" w:fill="FFFFFF"/>
            <w:vAlign w:val="center"/>
          </w:tcPr>
          <w:p>
            <w:pPr>
              <w:widowControl/>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淮安高铁商务区站前滨水休闲区项目（桥梁部分</w:t>
            </w:r>
            <w:r>
              <w:rPr>
                <w:rFonts w:ascii="仿宋_GB2312" w:hAnsi="仿宋_GB2312" w:eastAsia="仿宋_GB2312" w:cs="仿宋_GB2312"/>
                <w:color w:val="000000"/>
                <w:sz w:val="18"/>
                <w:szCs w:val="18"/>
              </w:rPr>
              <w:t>）</w:t>
            </w:r>
          </w:p>
        </w:tc>
        <w:tc>
          <w:tcPr>
            <w:tcW w:w="850" w:type="dxa"/>
            <w:tcBorders>
              <w:top w:val="nil"/>
              <w:left w:val="nil"/>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张运中</w:t>
            </w:r>
          </w:p>
          <w:p>
            <w:pPr>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沈洪志</w:t>
            </w:r>
          </w:p>
        </w:tc>
        <w:tc>
          <w:tcPr>
            <w:tcW w:w="9072" w:type="dxa"/>
            <w:tcBorders>
              <w:top w:val="nil"/>
              <w:left w:val="nil"/>
              <w:bottom w:val="single" w:color="000000" w:sz="4" w:space="0"/>
              <w:right w:val="single" w:color="000000" w:sz="4" w:space="0"/>
            </w:tcBorders>
            <w:shd w:val="clear" w:color="auto" w:fill="auto"/>
            <w:vAlign w:val="center"/>
          </w:tcPr>
          <w:p>
            <w:pPr>
              <w:tabs>
                <w:tab w:val="left" w:pos="5580"/>
                <w:tab w:val="left" w:pos="7560"/>
              </w:tabs>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泥浆护壁成孔灌注桩特征描述中提及凿除桩头弃置，但是定额中未体现该内容；2.混凝土梁特征描述提及运输及安装板梁，但是定额中未体现该内容；3.大型机械设备进出场及安拆：梁吊装可采用汽车式起重机，可不计取起重机的进退场、安拆费用；4.未考虑围堰及排水措施费用；5.水上桩基础支架、平台定额工程量计算错误；6.1#、2#、3#人行桥与2#车行桥未考虑支架措施；7.1#人行桥与2#人行桥混凝土支撑梁及横梁价格不同（1#人行桥的横梁混凝土含量为0）。</w:t>
            </w:r>
          </w:p>
        </w:tc>
      </w:tr>
      <w:tr>
        <w:tblPrEx>
          <w:tblLayout w:type="fixed"/>
          <w:tblCellMar>
            <w:top w:w="0" w:type="dxa"/>
            <w:left w:w="108" w:type="dxa"/>
            <w:bottom w:w="0" w:type="dxa"/>
            <w:right w:w="108" w:type="dxa"/>
          </w:tblCellMar>
        </w:tblPrEx>
        <w:trPr>
          <w:trHeight w:val="498" w:hRule="atLeast"/>
        </w:trPr>
        <w:tc>
          <w:tcPr>
            <w:tcW w:w="669" w:type="dxa"/>
            <w:tcBorders>
              <w:top w:val="nil"/>
              <w:left w:val="single" w:color="000000" w:sz="4" w:space="0"/>
              <w:bottom w:val="single" w:color="000000" w:sz="4" w:space="0"/>
              <w:right w:val="single" w:color="000000" w:sz="4" w:space="0"/>
            </w:tcBorders>
            <w:shd w:val="clear" w:color="auto" w:fill="auto"/>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w:t>
            </w:r>
          </w:p>
        </w:tc>
        <w:tc>
          <w:tcPr>
            <w:tcW w:w="2133" w:type="dxa"/>
            <w:tcBorders>
              <w:top w:val="nil"/>
              <w:left w:val="nil"/>
              <w:bottom w:val="single" w:color="000000" w:sz="4" w:space="0"/>
              <w:right w:val="single" w:color="000000" w:sz="4" w:space="0"/>
            </w:tcBorders>
            <w:shd w:val="clear" w:color="auto" w:fill="FFFFFF"/>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江苏立信建设工程造价咨询有限公司</w:t>
            </w:r>
          </w:p>
        </w:tc>
        <w:tc>
          <w:tcPr>
            <w:tcW w:w="2268" w:type="dxa"/>
            <w:tcBorders>
              <w:top w:val="nil"/>
              <w:left w:val="nil"/>
              <w:bottom w:val="single" w:color="000000" w:sz="4" w:space="0"/>
              <w:right w:val="single" w:color="000000" w:sz="4" w:space="0"/>
            </w:tcBorders>
            <w:shd w:val="clear" w:color="auto" w:fill="FFFFFF"/>
            <w:vAlign w:val="center"/>
          </w:tcPr>
          <w:p>
            <w:pPr>
              <w:widowControl/>
              <w:spacing w:line="240" w:lineRule="atLeast"/>
              <w:ind w:firstLine="360" w:firstLineChars="200"/>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淮安市外国语实验小学校安工程项目建安工程</w:t>
            </w:r>
          </w:p>
        </w:tc>
        <w:tc>
          <w:tcPr>
            <w:tcW w:w="850" w:type="dxa"/>
            <w:tcBorders>
              <w:top w:val="nil"/>
              <w:left w:val="nil"/>
              <w:bottom w:val="single" w:color="000000" w:sz="4" w:space="0"/>
              <w:right w:val="single" w:color="000000" w:sz="4" w:space="0"/>
            </w:tcBorders>
            <w:shd w:val="clear" w:color="auto" w:fill="auto"/>
            <w:vAlign w:val="center"/>
          </w:tcPr>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李小龙</w:t>
            </w:r>
          </w:p>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胡志荣</w:t>
            </w:r>
          </w:p>
        </w:tc>
        <w:tc>
          <w:tcPr>
            <w:tcW w:w="9072" w:type="dxa"/>
            <w:tcBorders>
              <w:top w:val="nil"/>
              <w:left w:val="nil"/>
              <w:bottom w:val="single" w:color="000000" w:sz="4" w:space="0"/>
              <w:right w:val="single" w:color="000000" w:sz="4" w:space="0"/>
            </w:tcBorders>
            <w:shd w:val="clear" w:color="auto" w:fill="auto"/>
            <w:vAlign w:val="center"/>
          </w:tcPr>
          <w:p>
            <w:pPr>
              <w:widowControl/>
              <w:spacing w:line="240" w:lineRule="atLeast"/>
              <w:ind w:firstLine="360" w:firstLineChars="200"/>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一、土建部分</w:t>
            </w:r>
          </w:p>
          <w:p>
            <w:pPr>
              <w:widowControl/>
              <w:numPr>
                <w:ilvl w:val="0"/>
                <w:numId w:val="1"/>
              </w:num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教学楼</w:t>
            </w:r>
            <w:r>
              <w:rPr>
                <w:rFonts w:ascii="仿宋_GB2312" w:hAnsi="仿宋_GB2312" w:eastAsia="仿宋_GB2312" w:cs="仿宋_GB2312"/>
                <w:color w:val="000000"/>
                <w:sz w:val="18"/>
                <w:szCs w:val="18"/>
              </w:rPr>
              <w:t>防滑地砖地面（有防水层）</w:t>
            </w:r>
            <w:r>
              <w:rPr>
                <w:rFonts w:hint="eastAsia" w:ascii="仿宋_GB2312" w:hAnsi="仿宋_GB2312" w:eastAsia="仿宋_GB2312" w:cs="仿宋_GB2312"/>
                <w:color w:val="000000"/>
                <w:sz w:val="18"/>
                <w:szCs w:val="18"/>
              </w:rPr>
              <w:t>、</w:t>
            </w:r>
            <w:r>
              <w:rPr>
                <w:rFonts w:ascii="仿宋_GB2312" w:hAnsi="仿宋_GB2312" w:eastAsia="仿宋_GB2312" w:cs="仿宋_GB2312"/>
                <w:color w:val="000000"/>
                <w:sz w:val="18"/>
                <w:szCs w:val="18"/>
              </w:rPr>
              <w:t>防滑地砖/玻化砖地面</w:t>
            </w:r>
            <w:r>
              <w:rPr>
                <w:rFonts w:hint="eastAsia" w:ascii="仿宋_GB2312" w:hAnsi="仿宋_GB2312" w:eastAsia="仿宋_GB2312" w:cs="仿宋_GB2312"/>
                <w:color w:val="000000"/>
                <w:sz w:val="18"/>
                <w:szCs w:val="18"/>
              </w:rPr>
              <w:t>、</w:t>
            </w:r>
            <w:r>
              <w:rPr>
                <w:rFonts w:ascii="仿宋_GB2312" w:hAnsi="仿宋_GB2312" w:eastAsia="仿宋_GB2312" w:cs="仿宋_GB2312"/>
                <w:color w:val="000000"/>
                <w:sz w:val="18"/>
                <w:szCs w:val="18"/>
              </w:rPr>
              <w:t>水磨石地面</w:t>
            </w:r>
            <w:r>
              <w:rPr>
                <w:rFonts w:hint="eastAsia" w:ascii="仿宋_GB2312" w:hAnsi="仿宋_GB2312" w:eastAsia="仿宋_GB2312" w:cs="仿宋_GB2312"/>
                <w:color w:val="000000"/>
                <w:sz w:val="18"/>
                <w:szCs w:val="18"/>
              </w:rPr>
              <w:t>、</w:t>
            </w:r>
            <w:r>
              <w:rPr>
                <w:rFonts w:ascii="仿宋_GB2312" w:hAnsi="仿宋_GB2312" w:eastAsia="仿宋_GB2312" w:cs="仿宋_GB2312"/>
                <w:color w:val="000000"/>
                <w:sz w:val="18"/>
                <w:szCs w:val="18"/>
              </w:rPr>
              <w:t>水泥砂浆楼地面</w:t>
            </w:r>
            <w:r>
              <w:rPr>
                <w:rFonts w:hint="eastAsia" w:ascii="仿宋_GB2312" w:hAnsi="仿宋_GB2312" w:eastAsia="仿宋_GB2312" w:cs="仿宋_GB2312"/>
                <w:color w:val="000000"/>
                <w:sz w:val="18"/>
                <w:szCs w:val="18"/>
              </w:rPr>
              <w:t>碎石垫层定额错误；雨棚工程量错误；</w:t>
            </w:r>
          </w:p>
          <w:p>
            <w:pPr>
              <w:widowControl/>
              <w:numPr>
                <w:ilvl w:val="0"/>
                <w:numId w:val="1"/>
              </w:num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基坑支护工程不应按照建筑工程类别执行，根据2014费用定额中类别划分说明按制作兼打桩三类标准执行；</w:t>
            </w:r>
          </w:p>
          <w:p>
            <w:pPr>
              <w:widowControl/>
              <w:numPr>
                <w:ilvl w:val="0"/>
                <w:numId w:val="1"/>
              </w:numPr>
              <w:spacing w:line="240" w:lineRule="atLeast"/>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钢梯</w:t>
            </w:r>
            <w:r>
              <w:rPr>
                <w:rFonts w:hint="eastAsia" w:ascii="仿宋_GB2312" w:hAnsi="仿宋_GB2312" w:eastAsia="仿宋_GB2312" w:cs="仿宋_GB2312"/>
                <w:color w:val="000000"/>
                <w:sz w:val="18"/>
                <w:szCs w:val="18"/>
              </w:rPr>
              <w:t>项目特征描述不全，除锈方式及除锈等级、运输距离未描述；</w:t>
            </w:r>
          </w:p>
          <w:p>
            <w:pPr>
              <w:widowControl/>
              <w:numPr>
                <w:ilvl w:val="0"/>
                <w:numId w:val="1"/>
              </w:numPr>
              <w:spacing w:line="240" w:lineRule="atLeast"/>
              <w:rPr>
                <w:rFonts w:ascii="仿宋_GB2312" w:hAnsi="仿宋_GB2312" w:eastAsia="仿宋_GB2312" w:cs="仿宋_GB2312"/>
                <w:color w:val="000000"/>
                <w:sz w:val="18"/>
                <w:szCs w:val="18"/>
              </w:rPr>
            </w:pPr>
            <w:r>
              <w:rPr>
                <w:rFonts w:ascii="仿宋_GB2312" w:hAnsi="仿宋_GB2312" w:eastAsia="仿宋_GB2312" w:cs="仿宋_GB2312"/>
                <w:color w:val="000000"/>
                <w:sz w:val="18"/>
                <w:szCs w:val="18"/>
              </w:rPr>
              <w:t>地下室大型土石方工程</w:t>
            </w:r>
            <w:r>
              <w:rPr>
                <w:rFonts w:hint="eastAsia" w:ascii="仿宋_GB2312" w:hAnsi="仿宋_GB2312" w:eastAsia="仿宋_GB2312" w:cs="仿宋_GB2312"/>
                <w:color w:val="000000"/>
                <w:sz w:val="18"/>
                <w:szCs w:val="18"/>
              </w:rPr>
              <w:t>履带式推土机进退场费未计取；</w:t>
            </w:r>
          </w:p>
          <w:p>
            <w:pPr>
              <w:widowControl/>
              <w:numPr>
                <w:ilvl w:val="0"/>
                <w:numId w:val="1"/>
              </w:num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报告厅根据2014费用定额中建筑工程类别划分说明第16小条中规定，该项目有地下室的建筑物应该按照二类工程计算；</w:t>
            </w:r>
          </w:p>
          <w:p>
            <w:pPr>
              <w:widowControl/>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6、送桩工程量计算错误；</w:t>
            </w:r>
          </w:p>
          <w:p>
            <w:pPr>
              <w:widowControl/>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7看台钢结构部分钢柱、钢梁及地脚螺栓项目特征描述不完整，未对其除锈方式及除锈等级、运距进行描述；</w:t>
            </w:r>
          </w:p>
          <w:p>
            <w:pPr>
              <w:widowControl/>
              <w:numPr>
                <w:ilvl w:val="0"/>
                <w:numId w:val="2"/>
              </w:num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安装部分</w:t>
            </w:r>
          </w:p>
          <w:p>
            <w:pPr>
              <w:pStyle w:val="5"/>
              <w:widowControl/>
              <w:numPr>
                <w:ilvl w:val="0"/>
                <w:numId w:val="3"/>
              </w:numPr>
              <w:spacing w:before="0" w:beforeAutospacing="0" w:after="0" w:afterAutospacing="0" w:line="240" w:lineRule="atLeast"/>
              <w:rPr>
                <w:rFonts w:ascii="仿宋_GB2312" w:hAnsi="仿宋_GB2312" w:eastAsia="仿宋_GB2312" w:cs="仿宋_GB2312"/>
                <w:color w:val="000000"/>
                <w:kern w:val="2"/>
                <w:sz w:val="18"/>
                <w:szCs w:val="18"/>
              </w:rPr>
            </w:pPr>
            <w:r>
              <w:rPr>
                <w:rFonts w:ascii="仿宋_GB2312" w:hAnsi="仿宋_GB2312" w:eastAsia="仿宋_GB2312" w:cs="仿宋_GB2312"/>
                <w:color w:val="000000"/>
                <w:kern w:val="2"/>
                <w:sz w:val="18"/>
                <w:szCs w:val="18"/>
              </w:rPr>
              <w:t>人防地下室</w:t>
            </w:r>
            <w:r>
              <w:rPr>
                <w:rFonts w:hint="eastAsia" w:ascii="仿宋_GB2312" w:hAnsi="仿宋_GB2312" w:eastAsia="仿宋_GB2312" w:cs="仿宋_GB2312"/>
                <w:color w:val="000000"/>
                <w:kern w:val="2"/>
                <w:sz w:val="18"/>
                <w:szCs w:val="18"/>
              </w:rPr>
              <w:t>清单189-190项</w:t>
            </w:r>
            <w:r>
              <w:rPr>
                <w:rFonts w:ascii="仿宋_GB2312" w:hAnsi="仿宋_GB2312" w:eastAsia="仿宋_GB2312" w:cs="仿宋_GB2312"/>
                <w:color w:val="000000"/>
                <w:kern w:val="2"/>
                <w:sz w:val="18"/>
                <w:szCs w:val="18"/>
              </w:rPr>
              <w:t>管道支架刷油</w:t>
            </w:r>
            <w:r>
              <w:rPr>
                <w:rFonts w:hint="eastAsia" w:ascii="仿宋_GB2312" w:hAnsi="仿宋_GB2312" w:eastAsia="仿宋_GB2312" w:cs="仿宋_GB2312"/>
                <w:color w:val="000000"/>
                <w:kern w:val="2"/>
                <w:sz w:val="18"/>
                <w:szCs w:val="18"/>
              </w:rPr>
              <w:t>清单重复，清单191项</w:t>
            </w:r>
            <w:r>
              <w:rPr>
                <w:rFonts w:ascii="仿宋_GB2312" w:hAnsi="仿宋_GB2312" w:eastAsia="仿宋_GB2312" w:cs="仿宋_GB2312"/>
                <w:color w:val="000000"/>
                <w:kern w:val="2"/>
                <w:sz w:val="18"/>
                <w:szCs w:val="18"/>
              </w:rPr>
              <w:t>钢性防水套管DN70</w:t>
            </w:r>
            <w:r>
              <w:rPr>
                <w:rFonts w:hint="eastAsia" w:ascii="仿宋_GB2312" w:hAnsi="仿宋_GB2312" w:eastAsia="仿宋_GB2312" w:cs="仿宋_GB2312"/>
                <w:color w:val="000000"/>
                <w:kern w:val="2"/>
                <w:sz w:val="18"/>
                <w:szCs w:val="18"/>
              </w:rPr>
              <w:t>定额重复；</w:t>
            </w:r>
          </w:p>
          <w:p>
            <w:pPr>
              <w:numPr>
                <w:ilvl w:val="0"/>
                <w:numId w:val="3"/>
              </w:num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教学楼工程单179项坐便器清单与定额工程量不一致，报告厅工程清单163项坐便器清单与定额工程量不一致；</w:t>
            </w:r>
          </w:p>
          <w:p>
            <w:pPr>
              <w:pStyle w:val="13"/>
              <w:numPr>
                <w:ilvl w:val="0"/>
                <w:numId w:val="3"/>
              </w:numPr>
              <w:spacing w:line="240" w:lineRule="atLeast"/>
              <w:ind w:firstLine="0" w:firstLineChars="0"/>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教学楼水电安装工程类别划分错误，根据2014费用定额规定其中水电安装工程应属于二类工程；</w:t>
            </w:r>
          </w:p>
        </w:tc>
      </w:tr>
      <w:tr>
        <w:tblPrEx>
          <w:tblLayout w:type="fixed"/>
          <w:tblCellMar>
            <w:top w:w="0" w:type="dxa"/>
            <w:left w:w="108" w:type="dxa"/>
            <w:bottom w:w="0" w:type="dxa"/>
            <w:right w:w="108" w:type="dxa"/>
          </w:tblCellMar>
        </w:tblPrEx>
        <w:trPr>
          <w:trHeight w:val="792" w:hRule="atLeast"/>
        </w:trPr>
        <w:tc>
          <w:tcPr>
            <w:tcW w:w="669" w:type="dxa"/>
            <w:tcBorders>
              <w:top w:val="nil"/>
              <w:left w:val="single" w:color="000000" w:sz="4" w:space="0"/>
              <w:bottom w:val="single" w:color="auto" w:sz="4" w:space="0"/>
              <w:right w:val="single" w:color="000000" w:sz="4" w:space="0"/>
            </w:tcBorders>
            <w:shd w:val="clear" w:color="auto" w:fill="auto"/>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w:t>
            </w:r>
          </w:p>
        </w:tc>
        <w:tc>
          <w:tcPr>
            <w:tcW w:w="2133" w:type="dxa"/>
            <w:tcBorders>
              <w:top w:val="nil"/>
              <w:left w:val="nil"/>
              <w:bottom w:val="single" w:color="auto" w:sz="4" w:space="0"/>
              <w:right w:val="single" w:color="000000" w:sz="4" w:space="0"/>
            </w:tcBorders>
            <w:shd w:val="clear" w:color="auto" w:fill="FFFFFF"/>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江苏天业工程咨询房地产估价有限责任公司</w:t>
            </w:r>
          </w:p>
        </w:tc>
        <w:tc>
          <w:tcPr>
            <w:tcW w:w="2268" w:type="dxa"/>
            <w:tcBorders>
              <w:top w:val="nil"/>
              <w:left w:val="nil"/>
              <w:bottom w:val="single" w:color="auto" w:sz="4" w:space="0"/>
              <w:right w:val="single" w:color="000000" w:sz="4" w:space="0"/>
            </w:tcBorders>
            <w:shd w:val="clear" w:color="auto" w:fill="FFFFFF"/>
            <w:vAlign w:val="center"/>
          </w:tcPr>
          <w:p>
            <w:pPr>
              <w:widowControl/>
              <w:spacing w:line="240" w:lineRule="atLeast"/>
              <w:ind w:firstLine="360" w:firstLineChars="200"/>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淮安市现代农业技能公共实训基地综合楼桩基工程</w:t>
            </w:r>
          </w:p>
        </w:tc>
        <w:tc>
          <w:tcPr>
            <w:tcW w:w="850" w:type="dxa"/>
            <w:tcBorders>
              <w:top w:val="nil"/>
              <w:left w:val="nil"/>
              <w:bottom w:val="single" w:color="auto" w:sz="4" w:space="0"/>
              <w:right w:val="single" w:color="000000" w:sz="4" w:space="0"/>
            </w:tcBorders>
            <w:shd w:val="clear" w:color="auto" w:fill="auto"/>
            <w:vAlign w:val="center"/>
          </w:tcPr>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任昭</w:t>
            </w:r>
          </w:p>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李双根</w:t>
            </w:r>
          </w:p>
        </w:tc>
        <w:tc>
          <w:tcPr>
            <w:tcW w:w="9072" w:type="dxa"/>
            <w:tcBorders>
              <w:top w:val="nil"/>
              <w:left w:val="nil"/>
              <w:bottom w:val="single" w:color="auto" w:sz="4" w:space="0"/>
              <w:right w:val="single" w:color="000000" w:sz="4" w:space="0"/>
            </w:tcBorders>
            <w:shd w:val="clear" w:color="auto" w:fill="auto"/>
            <w:vAlign w:val="center"/>
          </w:tcPr>
          <w:p>
            <w:pPr>
              <w:ind w:firstLine="360" w:firstLineChars="200"/>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平整场地不应在桩基工程中计算，应在上部建筑工程中计算。</w:t>
            </w:r>
          </w:p>
          <w:p>
            <w:pPr>
              <w:rPr>
                <w:rFonts w:ascii="仿宋_GB2312" w:hAnsi="仿宋_GB2312" w:eastAsia="仿宋_GB2312" w:cs="仿宋_GB2312"/>
                <w:color w:val="000000"/>
                <w:sz w:val="18"/>
                <w:szCs w:val="18"/>
              </w:rPr>
            </w:pPr>
          </w:p>
          <w:p>
            <w:pPr>
              <w:tabs>
                <w:tab w:val="left" w:pos="5580"/>
                <w:tab w:val="left" w:pos="7560"/>
              </w:tabs>
              <w:spacing w:line="240" w:lineRule="atLeast"/>
              <w:ind w:firstLine="360" w:firstLineChars="200"/>
              <w:rPr>
                <w:rFonts w:ascii="仿宋_GB2312" w:hAnsi="仿宋_GB2312" w:eastAsia="仿宋_GB2312" w:cs="仿宋_GB2312"/>
                <w:color w:val="000000"/>
                <w:sz w:val="18"/>
                <w:szCs w:val="18"/>
              </w:rPr>
            </w:pPr>
          </w:p>
        </w:tc>
      </w:tr>
      <w:tr>
        <w:tblPrEx>
          <w:tblLayout w:type="fixed"/>
          <w:tblCellMar>
            <w:top w:w="0" w:type="dxa"/>
            <w:left w:w="108" w:type="dxa"/>
            <w:bottom w:w="0" w:type="dxa"/>
            <w:right w:w="108" w:type="dxa"/>
          </w:tblCellMar>
        </w:tblPrEx>
        <w:trPr>
          <w:trHeight w:val="1015" w:hRule="atLeast"/>
        </w:trPr>
        <w:tc>
          <w:tcPr>
            <w:tcW w:w="66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w:t>
            </w:r>
          </w:p>
        </w:tc>
        <w:tc>
          <w:tcPr>
            <w:tcW w:w="2133" w:type="dxa"/>
            <w:tcBorders>
              <w:top w:val="single" w:color="auto" w:sz="4" w:space="0"/>
              <w:left w:val="nil"/>
              <w:bottom w:val="single" w:color="auto" w:sz="4" w:space="0"/>
              <w:right w:val="single" w:color="000000" w:sz="4" w:space="0"/>
            </w:tcBorders>
            <w:shd w:val="clear" w:color="auto" w:fill="FFFFFF"/>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江苏建瑞工程咨询有限公司</w:t>
            </w:r>
          </w:p>
        </w:tc>
        <w:tc>
          <w:tcPr>
            <w:tcW w:w="2268" w:type="dxa"/>
            <w:tcBorders>
              <w:top w:val="single" w:color="auto" w:sz="4" w:space="0"/>
              <w:left w:val="nil"/>
              <w:bottom w:val="single" w:color="auto" w:sz="4" w:space="0"/>
              <w:right w:val="single" w:color="000000" w:sz="4" w:space="0"/>
            </w:tcBorders>
            <w:shd w:val="clear" w:color="auto" w:fill="FFFFFF"/>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淮安市淮钢三期经济适用房项目景观绿化工程</w:t>
            </w:r>
          </w:p>
        </w:tc>
        <w:tc>
          <w:tcPr>
            <w:tcW w:w="850" w:type="dxa"/>
            <w:tcBorders>
              <w:top w:val="single" w:color="auto" w:sz="4" w:space="0"/>
              <w:left w:val="nil"/>
              <w:bottom w:val="single" w:color="auto" w:sz="4" w:space="0"/>
              <w:right w:val="single" w:color="000000" w:sz="4" w:space="0"/>
            </w:tcBorders>
            <w:shd w:val="clear" w:color="auto" w:fill="auto"/>
            <w:vAlign w:val="center"/>
          </w:tcPr>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路洪明</w:t>
            </w:r>
          </w:p>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翟凤梅</w:t>
            </w:r>
          </w:p>
        </w:tc>
        <w:tc>
          <w:tcPr>
            <w:tcW w:w="9072" w:type="dxa"/>
            <w:tcBorders>
              <w:top w:val="single" w:color="auto" w:sz="4" w:space="0"/>
              <w:left w:val="nil"/>
              <w:bottom w:val="single" w:color="auto" w:sz="4" w:space="0"/>
              <w:right w:val="single" w:color="auto" w:sz="4" w:space="0"/>
            </w:tcBorders>
            <w:shd w:val="clear" w:color="auto" w:fill="auto"/>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绿化工程：</w:t>
            </w:r>
          </w:p>
          <w:p>
            <w:pPr>
              <w:widowControl/>
              <w:autoSpaceDE w:val="0"/>
              <w:autoSpaceDN w:val="0"/>
              <w:snapToGrid w:val="0"/>
              <w:spacing w:line="435" w:lineRule="atLeast"/>
              <w:jc w:val="lef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序号27项，050102002012栽植灌木，项目特征：花石榴，冠幅≥180cm……，该清单项目组价中定额3-140栽植灌木(带土球)土球直径在50cm内应调整为定额3-143栽植灌木(带土球)土球直径在80cm内。依据：07园林计价表第三册第一章绿化种植计算规则第四条，土球直径按乔木胸径的8倍、灌木地径的7倍取定(无明显干径，按自然冠幅的0.4倍计算)。</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铺装工程：</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1、序号4项，050201001001园路，400*200*25黄锈石花岗岩-荔枝面，工程量计算错误。原清单为311.28m2，现为277.16m2。</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2、序号7项，050201001001园路，600*600*25黄锈石花岗岩-荔枝面，工程量计算错误。原清单为613.49m2，现为545.19m2。</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3、清单漏项，600*600*25黄锈石花岗岩-火烧面，工程量为61.51m2，综合单价为227.45元/m2，合价为13990.45元。</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4、序号112项，011204001013石材墙面，500*60*45蒙古黑花岗岩-光面，定额工程量错误，原控制价为4.2m2，现为0.72m2，综合单价由2249.85元/m2调整为385.69元/m2。</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5、序号113项，011204001014石材墙面，500*360*20蒙古黑花岗岩-光面，定额工程量错误，原控制价为4.2m2，现为2.16m2，综合单价由571.46元/m2调整为293.89元/m2。</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6、序号79项，010502001003矩形柱，定额中矩形柱模板工程量计算错误，原控制价模板工程量为11.75m2，现模板工程量为4.37m2，清单综合单价由1978.56元/m3调整为1067.38元/m3。</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7、序号78项，010502001003矩形梁，定额中矩形梁模板工程量计算错误，原控制价模板工程量为9.32m2，现模板工程量为6.58m2，清单综合单价由1732.67元/m3调整为1365.68元/m3。</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亮化工程：</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1、序号2项，030411001001配管埋地敷设PE40，原控制价工程量为223.7m，现PE40工程量为205m；</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2、序号3项，030411001002配管埋地敷设PE32，原控制价工程量为760m，现PE40工程量为685m；</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3、序号7项，030408001001电力电缆YJV5*6穿管敷设，原控制价工程量为1625.8m，现YJV5*6工程量为1543.28m；</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4、序号10项，030408006002 YJV5*6电力电缆头，原控制价工程量为6个，现工程量为12个；</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5、序号11项，030411004001 配线BVV3*2.5，原控制价工程量为390.95m，现工程量为308m；　</w:t>
            </w:r>
          </w:p>
        </w:tc>
      </w:tr>
      <w:tr>
        <w:tblPrEx>
          <w:tblLayout w:type="fixed"/>
          <w:tblCellMar>
            <w:top w:w="0" w:type="dxa"/>
            <w:left w:w="108" w:type="dxa"/>
            <w:bottom w:w="0" w:type="dxa"/>
            <w:right w:w="108" w:type="dxa"/>
          </w:tblCellMar>
        </w:tblPrEx>
        <w:trPr>
          <w:trHeight w:val="997" w:hRule="atLeast"/>
        </w:trPr>
        <w:tc>
          <w:tcPr>
            <w:tcW w:w="669"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5</w:t>
            </w:r>
          </w:p>
        </w:tc>
        <w:tc>
          <w:tcPr>
            <w:tcW w:w="2133" w:type="dxa"/>
            <w:tcBorders>
              <w:top w:val="single" w:color="auto" w:sz="4" w:space="0"/>
              <w:left w:val="nil"/>
              <w:bottom w:val="single" w:color="auto" w:sz="4" w:space="0"/>
              <w:right w:val="single" w:color="000000" w:sz="4" w:space="0"/>
            </w:tcBorders>
            <w:shd w:val="clear" w:color="auto" w:fill="FFFFFF"/>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江苏永勤工程管理有限公司</w:t>
            </w:r>
          </w:p>
        </w:tc>
        <w:tc>
          <w:tcPr>
            <w:tcW w:w="2268" w:type="dxa"/>
            <w:tcBorders>
              <w:top w:val="single" w:color="auto" w:sz="4" w:space="0"/>
              <w:left w:val="nil"/>
              <w:bottom w:val="single" w:color="auto" w:sz="4" w:space="0"/>
              <w:right w:val="single" w:color="000000" w:sz="4" w:space="0"/>
            </w:tcBorders>
            <w:shd w:val="clear" w:color="auto" w:fill="FFFFFF"/>
            <w:vAlign w:val="center"/>
          </w:tcPr>
          <w:p>
            <w:pPr>
              <w:widowControl/>
              <w:spacing w:line="240" w:lineRule="atLeast"/>
              <w:ind w:firstLine="360" w:firstLineChars="200"/>
              <w:jc w:val="cente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江苏省淮阴中学教育集团新城高级中学墙面及楼地面装饰工程</w:t>
            </w:r>
          </w:p>
        </w:tc>
        <w:tc>
          <w:tcPr>
            <w:tcW w:w="850" w:type="dxa"/>
            <w:tcBorders>
              <w:top w:val="single" w:color="auto" w:sz="4" w:space="0"/>
              <w:left w:val="nil"/>
              <w:bottom w:val="single" w:color="auto" w:sz="4" w:space="0"/>
              <w:right w:val="single" w:color="000000" w:sz="4" w:space="0"/>
            </w:tcBorders>
            <w:shd w:val="clear" w:color="auto" w:fill="auto"/>
            <w:vAlign w:val="center"/>
          </w:tcPr>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王春旭</w:t>
            </w:r>
          </w:p>
          <w:p>
            <w:pPr>
              <w:spacing w:line="240" w:lineRule="atLeast"/>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许良翠</w:t>
            </w:r>
          </w:p>
        </w:tc>
        <w:tc>
          <w:tcPr>
            <w:tcW w:w="9072" w:type="dxa"/>
            <w:tcBorders>
              <w:top w:val="single" w:color="auto" w:sz="4" w:space="0"/>
              <w:left w:val="nil"/>
              <w:bottom w:val="single" w:color="auto" w:sz="4" w:space="0"/>
              <w:right w:val="single" w:color="auto" w:sz="4" w:space="0"/>
            </w:tcBorders>
            <w:shd w:val="clear" w:color="auto" w:fill="auto"/>
            <w:vAlign w:val="center"/>
          </w:tcPr>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1.根据《清单计价规范》之规定：“分部分项工程项目清单必须根据相关工程现行国家计量规范规定的工程量计算规则编制”，同时《工程量计算规范》楼梯面层计算规则规定：“按设计图示尺寸以楼梯水平投影面积计算“，但是本工程的楼梯块料面层清单工程量计算均按展开实铺面积计算，和工程量计算规则不符。</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2.根据附录F《分部分项工程和单价措施项目清单与计价表》中“项目特征”栏必须描述的内容第3条之规定：“涉及到材质要求的内容必须描述，如油漆的品种、管材的材质、管材的规格和型号进行描”。食堂装饰工程清单第12条项目编码为0112040030004清单中，项目特征中描述为“钢骨架，含预埋件”，没有对所涉材料的材质、规格和型号均进行描述。</w:t>
            </w:r>
          </w:p>
          <w:p>
            <w:pPr>
              <w:rPr>
                <w:rFonts w:ascii="仿宋_GB2312" w:hAnsi="仿宋_GB2312" w:eastAsia="仿宋_GB2312" w:cs="仿宋_GB2312"/>
                <w:color w:val="000000"/>
                <w:sz w:val="18"/>
                <w:szCs w:val="18"/>
              </w:rPr>
            </w:pPr>
            <w:r>
              <w:rPr>
                <w:rFonts w:hint="eastAsia" w:ascii="仿宋_GB2312" w:hAnsi="仿宋_GB2312" w:eastAsia="仿宋_GB2312" w:cs="仿宋_GB2312"/>
                <w:color w:val="000000"/>
                <w:sz w:val="18"/>
                <w:szCs w:val="18"/>
              </w:rPr>
              <w:t>3.根据《清单计价规范》5.2.1和5.2.3之规定：“</w:t>
            </w:r>
            <w:bookmarkStart w:id="0" w:name="_GoBack"/>
            <w:bookmarkEnd w:id="0"/>
            <w:r>
              <w:rPr>
                <w:rFonts w:hint="eastAsia" w:ascii="仿宋_GB2312" w:hAnsi="仿宋_GB2312" w:eastAsia="仿宋_GB2312" w:cs="仿宋_GB2312"/>
                <w:color w:val="000000"/>
                <w:sz w:val="18"/>
                <w:szCs w:val="18"/>
              </w:rPr>
              <w:t>招标控制价应依据设计文件和相关资料编制，根据招标文件和招标工程量清单项目中的特征描述确定综合单价计算</w:t>
            </w:r>
            <w:r>
              <w:rPr>
                <w:rFonts w:ascii="仿宋_GB2312" w:hAnsi="仿宋_GB2312" w:eastAsia="仿宋_GB2312" w:cs="仿宋_GB2312"/>
                <w:color w:val="000000"/>
                <w:sz w:val="18"/>
                <w:szCs w:val="18"/>
              </w:rPr>
              <w:t>”</w:t>
            </w:r>
            <w:r>
              <w:rPr>
                <w:rFonts w:hint="eastAsia" w:ascii="仿宋_GB2312" w:hAnsi="仿宋_GB2312" w:eastAsia="仿宋_GB2312" w:cs="仿宋_GB2312"/>
                <w:color w:val="000000"/>
                <w:sz w:val="18"/>
                <w:szCs w:val="18"/>
              </w:rPr>
              <w:t>，但是编制本工程控制价时，教师公寓清单第9条“</w:t>
            </w:r>
            <w:r>
              <w:rPr>
                <w:rFonts w:ascii="仿宋_GB2312" w:hAnsi="仿宋_GB2312" w:eastAsia="仿宋_GB2312" w:cs="仿宋_GB2312"/>
                <w:color w:val="000000"/>
                <w:sz w:val="18"/>
                <w:szCs w:val="18"/>
              </w:rPr>
              <w:t>块料墙面（门厅、电梯厅、休息区）</w:t>
            </w:r>
            <w:r>
              <w:rPr>
                <w:rFonts w:hint="eastAsia" w:ascii="仿宋_GB2312" w:hAnsi="仿宋_GB2312" w:eastAsia="仿宋_GB2312" w:cs="仿宋_GB2312"/>
                <w:color w:val="000000"/>
                <w:sz w:val="18"/>
                <w:szCs w:val="18"/>
              </w:rPr>
              <w:t xml:space="preserve">”没有按照设计图纸和特征描述按实计算钢骨架，只是简单的按照每平方10kg进行了计取。 </w:t>
            </w:r>
          </w:p>
        </w:tc>
      </w:tr>
    </w:tbl>
    <w:p>
      <w:pPr>
        <w:spacing w:line="240" w:lineRule="atLeast"/>
        <w:rPr>
          <w:rFonts w:ascii="仿宋_GB2312" w:hAnsi="仿宋_GB2312" w:eastAsia="仿宋_GB2312" w:cs="仿宋_GB2312"/>
          <w:color w:val="000000"/>
          <w:sz w:val="18"/>
          <w:szCs w:val="18"/>
        </w:rPr>
      </w:pPr>
    </w:p>
    <w:sectPr>
      <w:footerReference r:id="rId3" w:type="default"/>
      <w:pgSz w:w="16838" w:h="11906" w:orient="landscape"/>
      <w:pgMar w:top="1440" w:right="18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37305"/>
    </w:sdtPr>
    <w:sdtContent>
      <w:p>
        <w:pPr>
          <w:pStyle w:val="3"/>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A2CCCB"/>
    <w:multiLevelType w:val="singleLevel"/>
    <w:tmpl w:val="EFA2CCCB"/>
    <w:lvl w:ilvl="0" w:tentative="0">
      <w:start w:val="1"/>
      <w:numFmt w:val="chineseCounting"/>
      <w:suff w:val="nothing"/>
      <w:lvlText w:val="%1、"/>
      <w:lvlJc w:val="left"/>
      <w:rPr>
        <w:rFonts w:hint="eastAsia"/>
      </w:rPr>
    </w:lvl>
  </w:abstractNum>
  <w:abstractNum w:abstractNumId="1">
    <w:nsid w:val="125F7B5F"/>
    <w:multiLevelType w:val="singleLevel"/>
    <w:tmpl w:val="125F7B5F"/>
    <w:lvl w:ilvl="0" w:tentative="0">
      <w:start w:val="1"/>
      <w:numFmt w:val="decimal"/>
      <w:suff w:val="nothing"/>
      <w:lvlText w:val="%1、"/>
      <w:lvlJc w:val="left"/>
    </w:lvl>
  </w:abstractNum>
  <w:abstractNum w:abstractNumId="2">
    <w:nsid w:val="1C9BF23D"/>
    <w:multiLevelType w:val="singleLevel"/>
    <w:tmpl w:val="1C9BF23D"/>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1E58"/>
    <w:rsid w:val="00045EFA"/>
    <w:rsid w:val="000722EA"/>
    <w:rsid w:val="00072F4D"/>
    <w:rsid w:val="000B43C4"/>
    <w:rsid w:val="000C0C59"/>
    <w:rsid w:val="000D1E58"/>
    <w:rsid w:val="000E1FC6"/>
    <w:rsid w:val="000E6DB4"/>
    <w:rsid w:val="001067CE"/>
    <w:rsid w:val="00135A87"/>
    <w:rsid w:val="00141EAA"/>
    <w:rsid w:val="00142147"/>
    <w:rsid w:val="00172B2B"/>
    <w:rsid w:val="00196465"/>
    <w:rsid w:val="001B4915"/>
    <w:rsid w:val="001B60F1"/>
    <w:rsid w:val="001D337D"/>
    <w:rsid w:val="00201138"/>
    <w:rsid w:val="00204590"/>
    <w:rsid w:val="0021204A"/>
    <w:rsid w:val="00232824"/>
    <w:rsid w:val="00245DDB"/>
    <w:rsid w:val="002921FA"/>
    <w:rsid w:val="002A6468"/>
    <w:rsid w:val="002B3DD4"/>
    <w:rsid w:val="002D12CB"/>
    <w:rsid w:val="002E05CB"/>
    <w:rsid w:val="003136DF"/>
    <w:rsid w:val="003208BF"/>
    <w:rsid w:val="00326C4C"/>
    <w:rsid w:val="003348DE"/>
    <w:rsid w:val="00385B74"/>
    <w:rsid w:val="003861A9"/>
    <w:rsid w:val="003B7B5D"/>
    <w:rsid w:val="003C312C"/>
    <w:rsid w:val="003D4B06"/>
    <w:rsid w:val="003E5149"/>
    <w:rsid w:val="0042475A"/>
    <w:rsid w:val="00441434"/>
    <w:rsid w:val="0044473E"/>
    <w:rsid w:val="00446E5E"/>
    <w:rsid w:val="00473911"/>
    <w:rsid w:val="004A0017"/>
    <w:rsid w:val="004B4175"/>
    <w:rsid w:val="004C427C"/>
    <w:rsid w:val="004D34EE"/>
    <w:rsid w:val="004E435A"/>
    <w:rsid w:val="00523805"/>
    <w:rsid w:val="00556C86"/>
    <w:rsid w:val="005679E9"/>
    <w:rsid w:val="00585C54"/>
    <w:rsid w:val="005A2C54"/>
    <w:rsid w:val="0060167D"/>
    <w:rsid w:val="006031CE"/>
    <w:rsid w:val="0061637F"/>
    <w:rsid w:val="00644798"/>
    <w:rsid w:val="0068620D"/>
    <w:rsid w:val="00693939"/>
    <w:rsid w:val="006B6DF7"/>
    <w:rsid w:val="006C3057"/>
    <w:rsid w:val="006C464C"/>
    <w:rsid w:val="006C59DE"/>
    <w:rsid w:val="006E108D"/>
    <w:rsid w:val="006E392C"/>
    <w:rsid w:val="006F109A"/>
    <w:rsid w:val="007264A2"/>
    <w:rsid w:val="007313F6"/>
    <w:rsid w:val="00746283"/>
    <w:rsid w:val="007C250E"/>
    <w:rsid w:val="007D52E1"/>
    <w:rsid w:val="007E02D2"/>
    <w:rsid w:val="008076D5"/>
    <w:rsid w:val="008500D2"/>
    <w:rsid w:val="008A494B"/>
    <w:rsid w:val="008C7ADF"/>
    <w:rsid w:val="008F4179"/>
    <w:rsid w:val="00913DD7"/>
    <w:rsid w:val="00932F88"/>
    <w:rsid w:val="00943671"/>
    <w:rsid w:val="0099040D"/>
    <w:rsid w:val="009C4A7B"/>
    <w:rsid w:val="009D4D19"/>
    <w:rsid w:val="00A074DF"/>
    <w:rsid w:val="00A267EF"/>
    <w:rsid w:val="00A73368"/>
    <w:rsid w:val="00A94C65"/>
    <w:rsid w:val="00AA0ECC"/>
    <w:rsid w:val="00AB3A39"/>
    <w:rsid w:val="00AB4BA0"/>
    <w:rsid w:val="00AC2315"/>
    <w:rsid w:val="00B06390"/>
    <w:rsid w:val="00B77694"/>
    <w:rsid w:val="00BF0C30"/>
    <w:rsid w:val="00C23DA0"/>
    <w:rsid w:val="00C73BDE"/>
    <w:rsid w:val="00CC52C9"/>
    <w:rsid w:val="00CC77B4"/>
    <w:rsid w:val="00CD73F7"/>
    <w:rsid w:val="00CF5CE6"/>
    <w:rsid w:val="00D53FB1"/>
    <w:rsid w:val="00D55CA9"/>
    <w:rsid w:val="00D75BF8"/>
    <w:rsid w:val="00E258EC"/>
    <w:rsid w:val="00E31C8E"/>
    <w:rsid w:val="00E32A42"/>
    <w:rsid w:val="00E37CB0"/>
    <w:rsid w:val="00F034E5"/>
    <w:rsid w:val="00F40CBC"/>
    <w:rsid w:val="00F6082F"/>
    <w:rsid w:val="00F84BF2"/>
    <w:rsid w:val="00FA421A"/>
    <w:rsid w:val="0A9A794F"/>
    <w:rsid w:val="0ECB3063"/>
    <w:rsid w:val="23281596"/>
    <w:rsid w:val="23365160"/>
    <w:rsid w:val="26E2745E"/>
    <w:rsid w:val="27363671"/>
    <w:rsid w:val="2C615861"/>
    <w:rsid w:val="2F0A0DCB"/>
    <w:rsid w:val="30B160B7"/>
    <w:rsid w:val="35FC1303"/>
    <w:rsid w:val="398E2CA3"/>
    <w:rsid w:val="39F21BF0"/>
    <w:rsid w:val="3ADB7A26"/>
    <w:rsid w:val="3B1F139F"/>
    <w:rsid w:val="3D317ED5"/>
    <w:rsid w:val="49050B9C"/>
    <w:rsid w:val="4BB3614A"/>
    <w:rsid w:val="4C575E8C"/>
    <w:rsid w:val="51677209"/>
    <w:rsid w:val="51CD2826"/>
    <w:rsid w:val="556D0DD7"/>
    <w:rsid w:val="5C0801EF"/>
    <w:rsid w:val="5C36703A"/>
    <w:rsid w:val="5DEE216E"/>
    <w:rsid w:val="603D2AF5"/>
    <w:rsid w:val="68D6600E"/>
    <w:rsid w:val="710624A8"/>
    <w:rsid w:val="76C010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character" w:styleId="7">
    <w:name w:val="Strong"/>
    <w:basedOn w:val="6"/>
    <w:qFormat/>
    <w:uiPriority w:val="0"/>
    <w:rPr>
      <w:b/>
      <w:bCs/>
    </w:rPr>
  </w:style>
  <w:style w:type="table" w:styleId="9">
    <w:name w:val="Table Grid"/>
    <w:basedOn w:val="8"/>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批注框文本 Char"/>
    <w:basedOn w:val="6"/>
    <w:link w:val="2"/>
    <w:semiHidden/>
    <w:qFormat/>
    <w:uiPriority w:val="99"/>
    <w:rPr>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483</Words>
  <Characters>2756</Characters>
  <Lines>22</Lines>
  <Paragraphs>6</Paragraphs>
  <TotalTime>1</TotalTime>
  <ScaleCrop>false</ScaleCrop>
  <LinksUpToDate>false</LinksUpToDate>
  <CharactersWithSpaces>3233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2018-10-29T03:07:00Z</dcterms:created>
  <dc:creator>微软用户</dc:creator>
  <cp:lastModifiedBy>n1403093538</cp:lastModifiedBy>
  <cp:lastPrinted>2018-10-29T02:59:00Z</cp:lastPrinted>
  <dcterms:modified xsi:type="dcterms:W3CDTF">2018-11-07T02:39:09Z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