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0" w:beforeLines="100" w:line="900" w:lineRule="exact"/>
        <w:ind w:firstLine="1200"/>
        <w:jc w:val="center"/>
        <w:rPr>
          <w:rFonts w:eastAsia="方正小标宋_GBK"/>
          <w:spacing w:val="-20"/>
          <w:sz w:val="64"/>
          <w:szCs w:val="64"/>
        </w:rPr>
      </w:pPr>
    </w:p>
    <w:p>
      <w:pPr>
        <w:spacing w:before="240" w:beforeLines="100" w:line="900" w:lineRule="exact"/>
        <w:ind w:firstLine="0" w:firstLineChars="0"/>
        <w:jc w:val="center"/>
        <w:rPr>
          <w:rFonts w:ascii="黑体" w:hAnsi="黑体" w:eastAsia="黑体" w:cs="黑体"/>
          <w:sz w:val="56"/>
          <w:szCs w:val="96"/>
        </w:rPr>
      </w:pPr>
      <w:r>
        <w:rPr>
          <w:rFonts w:hint="eastAsia" w:ascii="黑体" w:hAnsi="黑体" w:eastAsia="黑体" w:cs="黑体"/>
          <w:spacing w:val="-20"/>
          <w:sz w:val="64"/>
          <w:szCs w:val="64"/>
        </w:rPr>
        <w:t>苏 州 市 建 设 工 程 造 价</w:t>
      </w:r>
    </w:p>
    <w:p>
      <w:pPr>
        <w:spacing w:before="120" w:beforeLines="50" w:line="1400" w:lineRule="exact"/>
        <w:ind w:firstLine="0" w:firstLineChars="0"/>
        <w:jc w:val="center"/>
        <w:rPr>
          <w:rFonts w:eastAsia="方正小标宋_GBK"/>
          <w:b/>
          <w:bCs/>
          <w:sz w:val="72"/>
          <w:szCs w:val="144"/>
        </w:rPr>
      </w:pPr>
      <w:r>
        <w:rPr>
          <w:rFonts w:eastAsia="方正小标宋_GBK"/>
          <w:b/>
          <w:bCs/>
          <w:sz w:val="76"/>
          <w:szCs w:val="76"/>
        </w:rPr>
        <w:t>文 件 汇 编</w:t>
      </w:r>
    </w:p>
    <w:p>
      <w:pPr>
        <w:spacing w:line="570" w:lineRule="exact"/>
        <w:ind w:firstLine="0" w:firstLineChars="0"/>
        <w:jc w:val="center"/>
        <w:rPr>
          <w:rFonts w:eastAsia="方正楷体_GBK"/>
          <w:sz w:val="32"/>
          <w:szCs w:val="32"/>
        </w:rPr>
      </w:pPr>
      <w:r>
        <w:rPr>
          <w:rFonts w:hint="eastAsia" w:eastAsia="方正楷体_GBK"/>
          <w:sz w:val="32"/>
          <w:szCs w:val="32"/>
        </w:rPr>
        <w:t>（2010年-2021年）</w:t>
      </w:r>
    </w:p>
    <w:p>
      <w:pPr>
        <w:spacing w:line="570" w:lineRule="exact"/>
        <w:ind w:firstLine="0" w:firstLineChars="0"/>
        <w:jc w:val="center"/>
        <w:rPr>
          <w:rFonts w:eastAsia="方正楷体_GBK"/>
          <w:sz w:val="32"/>
          <w:szCs w:val="32"/>
        </w:rPr>
      </w:pPr>
    </w:p>
    <w:p>
      <w:pPr>
        <w:spacing w:line="570" w:lineRule="exact"/>
        <w:ind w:firstLine="0" w:firstLineChars="0"/>
        <w:jc w:val="center"/>
        <w:rPr>
          <w:rFonts w:eastAsia="方正楷体_GBK"/>
          <w:sz w:val="32"/>
          <w:szCs w:val="32"/>
        </w:rPr>
      </w:pPr>
    </w:p>
    <w:p>
      <w:pPr>
        <w:spacing w:line="570" w:lineRule="exact"/>
        <w:ind w:firstLine="0" w:firstLineChars="0"/>
        <w:jc w:val="center"/>
        <w:rPr>
          <w:rFonts w:eastAsia="方正楷体_GBK"/>
          <w:sz w:val="32"/>
          <w:szCs w:val="32"/>
        </w:rPr>
      </w:pPr>
    </w:p>
    <w:p>
      <w:pPr>
        <w:spacing w:line="570" w:lineRule="exact"/>
        <w:ind w:firstLine="0" w:firstLineChars="0"/>
        <w:jc w:val="center"/>
        <w:rPr>
          <w:rFonts w:eastAsia="方正楷体_GBK"/>
          <w:sz w:val="32"/>
          <w:szCs w:val="32"/>
        </w:rPr>
      </w:pPr>
    </w:p>
    <w:p>
      <w:pPr>
        <w:spacing w:line="570" w:lineRule="exact"/>
        <w:ind w:firstLine="0" w:firstLineChars="0"/>
        <w:jc w:val="center"/>
        <w:rPr>
          <w:rFonts w:eastAsia="方正楷体_GBK"/>
          <w:sz w:val="32"/>
          <w:szCs w:val="32"/>
        </w:rPr>
      </w:pPr>
    </w:p>
    <w:p>
      <w:pPr>
        <w:spacing w:line="570" w:lineRule="exact"/>
        <w:ind w:firstLine="0" w:firstLineChars="0"/>
        <w:jc w:val="center"/>
        <w:rPr>
          <w:rFonts w:eastAsia="方正楷体_GBK"/>
          <w:sz w:val="32"/>
          <w:szCs w:val="32"/>
        </w:rPr>
      </w:pPr>
    </w:p>
    <w:p>
      <w:pPr>
        <w:spacing w:line="570" w:lineRule="exact"/>
        <w:ind w:firstLine="0" w:firstLineChars="0"/>
        <w:jc w:val="center"/>
        <w:rPr>
          <w:rFonts w:eastAsia="方正楷体_GBK"/>
          <w:sz w:val="32"/>
          <w:szCs w:val="32"/>
        </w:rPr>
      </w:pPr>
    </w:p>
    <w:p>
      <w:pPr>
        <w:pStyle w:val="2"/>
        <w:numPr>
          <w:ilvl w:val="0"/>
          <w:numId w:val="0"/>
        </w:numPr>
        <w:rPr>
          <w:rFonts w:ascii="Times New Roman" w:hAnsi="Times New Roman" w:eastAsia="方正楷体_GBK"/>
          <w:sz w:val="32"/>
          <w:szCs w:val="32"/>
        </w:rPr>
      </w:pPr>
    </w:p>
    <w:p>
      <w:pPr>
        <w:pStyle w:val="2"/>
        <w:numPr>
          <w:ilvl w:val="0"/>
          <w:numId w:val="0"/>
        </w:numPr>
        <w:rPr>
          <w:rFonts w:ascii="Times New Roman" w:hAnsi="Times New Roman" w:eastAsia="方正楷体_GBK"/>
          <w:sz w:val="32"/>
          <w:szCs w:val="32"/>
        </w:rPr>
      </w:pPr>
    </w:p>
    <w:p>
      <w:pPr>
        <w:spacing w:line="360" w:lineRule="exact"/>
        <w:ind w:firstLine="0" w:firstLineChars="0"/>
        <w:jc w:val="center"/>
        <w:rPr>
          <w:rFonts w:eastAsia="方正楷体_GBK"/>
          <w:sz w:val="32"/>
          <w:szCs w:val="32"/>
        </w:rPr>
      </w:pPr>
    </w:p>
    <w:p>
      <w:pPr>
        <w:spacing w:line="360" w:lineRule="exact"/>
        <w:ind w:firstLine="0" w:firstLineChars="0"/>
        <w:jc w:val="center"/>
        <w:rPr>
          <w:rFonts w:eastAsia="方正楷体_GBK"/>
          <w:sz w:val="32"/>
          <w:szCs w:val="32"/>
        </w:rPr>
      </w:pPr>
    </w:p>
    <w:p>
      <w:pPr>
        <w:spacing w:line="360" w:lineRule="exact"/>
        <w:ind w:firstLine="0" w:firstLineChars="0"/>
        <w:jc w:val="center"/>
        <w:rPr>
          <w:rFonts w:eastAsia="方正楷体_GBK"/>
          <w:sz w:val="36"/>
          <w:szCs w:val="36"/>
        </w:rPr>
      </w:pPr>
    </w:p>
    <w:p>
      <w:pPr>
        <w:spacing w:before="120" w:beforeLines="50" w:line="700" w:lineRule="exact"/>
        <w:ind w:firstLine="0" w:firstLineChars="0"/>
        <w:jc w:val="center"/>
        <w:rPr>
          <w:rFonts w:eastAsia="方正楷体_GBK"/>
          <w:spacing w:val="11"/>
          <w:sz w:val="36"/>
          <w:szCs w:val="36"/>
        </w:rPr>
      </w:pPr>
    </w:p>
    <w:p>
      <w:pPr>
        <w:spacing w:before="120" w:beforeLines="50" w:line="700" w:lineRule="exact"/>
        <w:ind w:firstLine="0" w:firstLineChars="0"/>
        <w:jc w:val="center"/>
        <w:rPr>
          <w:rFonts w:eastAsia="方正楷体_GBK"/>
          <w:spacing w:val="11"/>
          <w:sz w:val="36"/>
          <w:szCs w:val="36"/>
        </w:rPr>
      </w:pPr>
      <w:r>
        <w:rPr>
          <w:rFonts w:hint="eastAsia" w:ascii="仿宋" w:hAnsi="仿宋" w:eastAsia="仿宋" w:cs="仿宋"/>
          <w:spacing w:val="11"/>
          <w:sz w:val="36"/>
          <w:szCs w:val="36"/>
        </w:rPr>
        <w:t>苏州市工程造价管理处</w:t>
      </w:r>
    </w:p>
    <w:p>
      <w:pPr>
        <w:spacing w:line="700" w:lineRule="exact"/>
        <w:ind w:firstLine="0" w:firstLineChars="0"/>
        <w:jc w:val="center"/>
        <w:rPr>
          <w:rFonts w:eastAsia="方正楷体_GBK"/>
          <w:spacing w:val="11"/>
          <w:sz w:val="36"/>
          <w:szCs w:val="36"/>
        </w:rPr>
        <w:sectPr>
          <w:headerReference r:id="rId7" w:type="first"/>
          <w:footerReference r:id="rId10" w:type="first"/>
          <w:headerReference r:id="rId5" w:type="default"/>
          <w:footerReference r:id="rId8" w:type="default"/>
          <w:headerReference r:id="rId6" w:type="even"/>
          <w:footerReference r:id="rId9" w:type="even"/>
          <w:pgSz w:w="11907" w:h="16840"/>
          <w:pgMar w:top="1587" w:right="1474" w:bottom="1474" w:left="1474" w:header="0" w:footer="975" w:gutter="0"/>
          <w:cols w:space="0" w:num="1"/>
        </w:sectPr>
      </w:pPr>
      <w:r>
        <w:rPr>
          <w:rFonts w:eastAsia="方正楷体_GBK"/>
          <w:spacing w:val="11"/>
          <w:sz w:val="36"/>
          <w:szCs w:val="36"/>
        </w:rPr>
        <w:t>2021年</w:t>
      </w:r>
      <w:r>
        <w:rPr>
          <w:rFonts w:hint="eastAsia" w:eastAsia="方正楷体_GBK"/>
          <w:spacing w:val="11"/>
          <w:sz w:val="36"/>
          <w:szCs w:val="36"/>
        </w:rPr>
        <w:t>12</w:t>
      </w:r>
      <w:r>
        <w:rPr>
          <w:rFonts w:eastAsia="方正楷体_GBK"/>
          <w:spacing w:val="11"/>
          <w:sz w:val="36"/>
          <w:szCs w:val="36"/>
        </w:rPr>
        <w:t>月</w:t>
      </w:r>
    </w:p>
    <w:p>
      <w:pPr>
        <w:widowControl/>
        <w:spacing w:before="100" w:beforeAutospacing="1" w:after="100" w:afterAutospacing="1" w:line="240" w:lineRule="auto"/>
        <w:ind w:firstLine="0" w:firstLineChars="0"/>
        <w:jc w:val="center"/>
        <w:rPr>
          <w:rFonts w:ascii="方正小标宋_GBK" w:hAnsi="方正小标宋_GBK" w:eastAsia="方正小标宋_GBK" w:cs="方正小标宋_GBK"/>
          <w:kern w:val="0"/>
          <w:sz w:val="52"/>
          <w:szCs w:val="52"/>
        </w:rPr>
      </w:pPr>
      <w:r>
        <w:rPr>
          <w:rFonts w:hint="eastAsia" w:ascii="方正小标宋_GBK" w:hAnsi="方正小标宋_GBK" w:eastAsia="方正小标宋_GBK" w:cs="方正小标宋_GBK"/>
          <w:kern w:val="0"/>
          <w:sz w:val="52"/>
          <w:szCs w:val="52"/>
        </w:rPr>
        <w:t>目   录</w:t>
      </w:r>
    </w:p>
    <w:p>
      <w:pPr>
        <w:pStyle w:val="18"/>
        <w:tabs>
          <w:tab w:val="right" w:leader="dot" w:pos="8959"/>
        </w:tabs>
        <w:ind w:left="398" w:leftChars="142" w:firstLine="0" w:firstLineChars="0"/>
        <w:jc w:val="left"/>
        <w:rPr>
          <w:rFonts w:eastAsia="方正楷体_GBK"/>
        </w:rPr>
      </w:pPr>
    </w:p>
    <w:p>
      <w:pPr>
        <w:pStyle w:val="17"/>
        <w:numPr>
          <w:ilvl w:val="0"/>
          <w:numId w:val="2"/>
        </w:numPr>
        <w:tabs>
          <w:tab w:val="right" w:leader="dot" w:pos="8959"/>
        </w:tabs>
        <w:ind w:firstLine="0" w:firstLineChars="0"/>
        <w:jc w:val="center"/>
        <w:rPr>
          <w:rFonts w:hint="eastAsia" w:ascii="黑体" w:hAnsi="黑体" w:eastAsia="黑体" w:cs="黑体"/>
          <w:sz w:val="44"/>
          <w:szCs w:val="44"/>
        </w:rPr>
      </w:pPr>
      <w:r>
        <w:rPr>
          <w:rFonts w:hint="eastAsia" w:ascii="黑体" w:hAnsi="黑体" w:eastAsia="黑体" w:cs="黑体"/>
          <w:sz w:val="44"/>
          <w:szCs w:val="44"/>
        </w:rPr>
        <w:t>苏州市住房和城乡建设局相关文件</w:t>
      </w:r>
    </w:p>
    <w:p>
      <w:pPr>
        <w:pStyle w:val="17"/>
        <w:numPr>
          <w:numId w:val="0"/>
        </w:numPr>
        <w:tabs>
          <w:tab w:val="right" w:leader="dot" w:pos="8959"/>
        </w:tabs>
        <w:jc w:val="center"/>
        <w:rPr>
          <w:rFonts w:hint="eastAsia" w:ascii="黑体" w:hAnsi="黑体" w:eastAsia="黑体" w:cs="黑体"/>
          <w:sz w:val="44"/>
          <w:szCs w:val="44"/>
        </w:rPr>
      </w:pPr>
      <w:r>
        <w:rPr>
          <w:rFonts w:hint="eastAsia" w:ascii="黑体" w:hAnsi="黑体" w:eastAsia="黑体" w:cs="黑体"/>
          <w:sz w:val="44"/>
          <w:szCs w:val="44"/>
        </w:rPr>
        <w:t>及省住建厅相关公告</w:t>
      </w:r>
    </w:p>
    <w:p>
      <w:pPr>
        <w:pStyle w:val="17"/>
        <w:tabs>
          <w:tab w:val="right" w:leader="dot" w:pos="8959"/>
        </w:tabs>
        <w:ind w:firstLine="0" w:firstLineChars="0"/>
        <w:jc w:val="center"/>
      </w:pPr>
      <w:r>
        <w:rPr>
          <w:rFonts w:ascii="宋体" w:hAnsi="宋体" w:cs="宋体"/>
          <w:color w:val="FF0000"/>
          <w:kern w:val="0"/>
          <w:sz w:val="52"/>
          <w:szCs w:val="52"/>
        </w:rPr>
        <w:fldChar w:fldCharType="begin"/>
      </w:r>
      <w:r>
        <w:rPr>
          <w:rFonts w:ascii="宋体" w:hAnsi="宋体" w:cs="宋体"/>
          <w:color w:val="FF0000"/>
          <w:kern w:val="0"/>
          <w:sz w:val="52"/>
          <w:szCs w:val="52"/>
        </w:rPr>
        <w:instrText xml:space="preserve">TOC \o "1-2" \h \u </w:instrText>
      </w:r>
      <w:r>
        <w:rPr>
          <w:rFonts w:ascii="宋体" w:hAnsi="宋体" w:cs="宋体"/>
          <w:color w:val="FF0000"/>
          <w:kern w:val="0"/>
          <w:sz w:val="52"/>
          <w:szCs w:val="52"/>
        </w:rPr>
        <w:fldChar w:fldCharType="separate"/>
      </w:r>
    </w:p>
    <w:p>
      <w:pPr>
        <w:pStyle w:val="17"/>
        <w:tabs>
          <w:tab w:val="right" w:leader="dot" w:pos="8959"/>
        </w:tabs>
        <w:ind w:left="378" w:hanging="378" w:hangingChars="135"/>
        <w:jc w:val="left"/>
      </w:pPr>
      <w:r>
        <w:rPr>
          <w:rFonts w:hint="eastAsia" w:ascii="方正黑体简体" w:hAnsi="方正黑体简体" w:eastAsia="方正黑体简体" w:cs="方正黑体简体"/>
          <w:kern w:val="0"/>
          <w:szCs w:val="52"/>
        </w:rPr>
        <w:t xml:space="preserve">1. </w:t>
      </w:r>
      <w:r>
        <w:fldChar w:fldCharType="begin"/>
      </w:r>
      <w:r>
        <w:instrText xml:space="preserve"> HYPERLINK \l "_Toc4761" </w:instrText>
      </w:r>
      <w:r>
        <w:fldChar w:fldCharType="separate"/>
      </w:r>
      <w:r>
        <w:rPr>
          <w:rFonts w:hint="eastAsia" w:ascii="方正黑体简体" w:hAnsi="方正黑体简体" w:eastAsia="方正黑体简体" w:cs="方正黑体简体"/>
        </w:rPr>
        <w:t>关于执行《江苏省房屋修缮工程计价表》和</w:t>
      </w:r>
      <w:r>
        <w:rPr>
          <w:rFonts w:hint="eastAsia" w:ascii="方正黑体简体" w:hAnsi="方正黑体简体" w:eastAsia="方正黑体简体" w:cs="方正黑体简体"/>
        </w:rPr>
        <w:fldChar w:fldCharType="end"/>
      </w:r>
      <w:r>
        <w:fldChar w:fldCharType="begin"/>
      </w:r>
      <w:r>
        <w:instrText xml:space="preserve"> HYPERLINK \l "_Toc19081" </w:instrText>
      </w:r>
      <w:r>
        <w:fldChar w:fldCharType="separate"/>
      </w:r>
      <w:r>
        <w:rPr>
          <w:rFonts w:hint="eastAsia" w:ascii="方正黑体简体" w:hAnsi="方正黑体简体" w:eastAsia="方正黑体简体" w:cs="方正黑体简体"/>
        </w:rPr>
        <w:t>《江苏省抗震加固工程计价表》（2009版）的通知</w:t>
      </w:r>
      <w:r>
        <w:rPr>
          <w:rFonts w:hint="eastAsia" w:ascii="方正黑体简体" w:hAnsi="方正黑体简体" w:eastAsia="方正黑体简体" w:cs="方正黑体简体"/>
        </w:rPr>
        <w:fldChar w:fldCharType="end"/>
      </w:r>
    </w:p>
    <w:p>
      <w:pPr>
        <w:pStyle w:val="18"/>
        <w:tabs>
          <w:tab w:val="right" w:leader="dot" w:pos="8959"/>
        </w:tabs>
        <w:ind w:left="398" w:leftChars="142" w:firstLine="0" w:firstLineChars="0"/>
        <w:jc w:val="left"/>
        <w:rPr>
          <w:rFonts w:eastAsia="方正楷体_GBK"/>
        </w:rPr>
      </w:pPr>
      <w:r>
        <w:fldChar w:fldCharType="begin"/>
      </w:r>
      <w:r>
        <w:instrText xml:space="preserve"> HYPERLINK \l "_Toc9761" </w:instrText>
      </w:r>
      <w:r>
        <w:fldChar w:fldCharType="separate"/>
      </w:r>
      <w:r>
        <w:rPr>
          <w:rFonts w:eastAsia="方正楷体_GBK"/>
        </w:rPr>
        <w:t>苏住建价〔2010〕5号</w:t>
      </w:r>
      <w:r>
        <w:rPr>
          <w:rFonts w:eastAsia="方正楷体_GBK"/>
        </w:rPr>
        <w:tab/>
      </w:r>
      <w:r>
        <w:rPr>
          <w:rFonts w:eastAsia="方正楷体_GBK"/>
        </w:rPr>
        <w:fldChar w:fldCharType="begin"/>
      </w:r>
      <w:r>
        <w:rPr>
          <w:rFonts w:eastAsia="方正楷体_GBK"/>
        </w:rPr>
        <w:instrText xml:space="preserve"> PAGEREF _Toc9761 \h </w:instrText>
      </w:r>
      <w:r>
        <w:rPr>
          <w:rFonts w:eastAsia="方正楷体_GBK"/>
        </w:rPr>
        <w:fldChar w:fldCharType="separate"/>
      </w:r>
      <w:r>
        <w:rPr>
          <w:rFonts w:eastAsia="方正楷体_GBK"/>
        </w:rPr>
        <w:t>2</w:t>
      </w:r>
      <w:r>
        <w:rPr>
          <w:rFonts w:eastAsia="方正楷体_GBK"/>
        </w:rPr>
        <w:fldChar w:fldCharType="end"/>
      </w:r>
      <w:r>
        <w:rPr>
          <w:rFonts w:eastAsia="方正楷体_GBK"/>
        </w:rPr>
        <w:fldChar w:fldCharType="end"/>
      </w:r>
    </w:p>
    <w:p>
      <w:pPr>
        <w:pStyle w:val="17"/>
        <w:tabs>
          <w:tab w:val="right" w:leader="dot" w:pos="8959"/>
        </w:tabs>
        <w:ind w:left="378" w:hanging="378" w:hangingChars="135"/>
        <w:jc w:val="left"/>
        <w:rPr>
          <w:rFonts w:ascii="方正黑体简体" w:hAnsi="方正黑体简体" w:eastAsia="方正黑体简体" w:cs="方正黑体简体"/>
        </w:rPr>
      </w:pPr>
      <w:r>
        <w:rPr>
          <w:rFonts w:hint="eastAsia" w:ascii="方正黑体简体" w:hAnsi="方正黑体简体" w:eastAsia="方正黑体简体" w:cs="方正黑体简体"/>
        </w:rPr>
        <w:t>2</w:t>
      </w:r>
      <w:r>
        <w:rPr>
          <w:rFonts w:hint="eastAsia" w:ascii="方正黑体简体" w:hAnsi="方正黑体简体" w:eastAsia="方正黑体简体" w:cs="方正黑体简体"/>
          <w:kern w:val="0"/>
          <w:szCs w:val="52"/>
        </w:rPr>
        <w:t xml:space="preserve">. </w:t>
      </w:r>
      <w:r>
        <w:fldChar w:fldCharType="begin"/>
      </w:r>
      <w:r>
        <w:instrText xml:space="preserve"> HYPERLINK \l "_Toc10429" </w:instrText>
      </w:r>
      <w:r>
        <w:fldChar w:fldCharType="separate"/>
      </w:r>
      <w:r>
        <w:rPr>
          <w:rFonts w:hint="eastAsia" w:ascii="方正黑体简体" w:hAnsi="方正黑体简体" w:eastAsia="方正黑体简体" w:cs="方正黑体简体"/>
        </w:rPr>
        <w:t>关于转发省住建厅《关于调整建筑、装饰、安装、市政、修缮加固、仿古建筑及园林工程预算工资单价的通知》的通知</w:t>
      </w:r>
      <w:r>
        <w:rPr>
          <w:rFonts w:hint="eastAsia" w:ascii="方正黑体简体" w:hAnsi="方正黑体简体" w:eastAsia="方正黑体简体" w:cs="方正黑体简体"/>
        </w:rPr>
        <w:fldChar w:fldCharType="end"/>
      </w:r>
    </w:p>
    <w:p>
      <w:pPr>
        <w:pStyle w:val="18"/>
        <w:tabs>
          <w:tab w:val="right" w:leader="dot" w:pos="8959"/>
        </w:tabs>
        <w:ind w:left="398" w:leftChars="142" w:firstLine="0" w:firstLineChars="0"/>
        <w:jc w:val="left"/>
        <w:rPr>
          <w:rFonts w:eastAsia="方正楷体_GBK"/>
        </w:rPr>
      </w:pPr>
      <w:r>
        <w:fldChar w:fldCharType="begin"/>
      </w:r>
      <w:r>
        <w:instrText xml:space="preserve"> HYPERLINK \l "_Toc19428" </w:instrText>
      </w:r>
      <w:r>
        <w:fldChar w:fldCharType="separate"/>
      </w:r>
      <w:r>
        <w:rPr>
          <w:rFonts w:hint="eastAsia" w:eastAsia="方正楷体_GBK"/>
        </w:rPr>
        <w:t>苏住建价〔2010〕14号</w:t>
      </w:r>
      <w:r>
        <w:rPr>
          <w:rFonts w:eastAsia="方正楷体_GBK"/>
        </w:rPr>
        <w:tab/>
      </w:r>
      <w:r>
        <w:rPr>
          <w:rFonts w:eastAsia="方正楷体_GBK"/>
        </w:rPr>
        <w:fldChar w:fldCharType="begin"/>
      </w:r>
      <w:r>
        <w:rPr>
          <w:rFonts w:eastAsia="方正楷体_GBK"/>
        </w:rPr>
        <w:instrText xml:space="preserve"> PAGEREF _Toc19428 \h </w:instrText>
      </w:r>
      <w:r>
        <w:rPr>
          <w:rFonts w:eastAsia="方正楷体_GBK"/>
        </w:rPr>
        <w:fldChar w:fldCharType="separate"/>
      </w:r>
      <w:r>
        <w:rPr>
          <w:rFonts w:eastAsia="方正楷体_GBK"/>
        </w:rPr>
        <w:t>3</w:t>
      </w:r>
      <w:r>
        <w:rPr>
          <w:rFonts w:eastAsia="方正楷体_GBK"/>
        </w:rPr>
        <w:fldChar w:fldCharType="end"/>
      </w:r>
      <w:r>
        <w:rPr>
          <w:rFonts w:eastAsia="方正楷体_GBK"/>
        </w:rPr>
        <w:fldChar w:fldCharType="end"/>
      </w:r>
    </w:p>
    <w:p>
      <w:pPr>
        <w:pStyle w:val="17"/>
        <w:tabs>
          <w:tab w:val="right" w:leader="dot" w:pos="8959"/>
        </w:tabs>
        <w:ind w:left="378" w:hanging="378" w:hangingChars="135"/>
        <w:jc w:val="left"/>
        <w:rPr>
          <w:rFonts w:ascii="方正黑体简体" w:hAnsi="方正黑体简体" w:eastAsia="方正黑体简体" w:cs="方正黑体简体"/>
        </w:rPr>
      </w:pPr>
      <w:r>
        <w:rPr>
          <w:rFonts w:hint="eastAsia" w:ascii="方正黑体简体" w:hAnsi="方正黑体简体" w:eastAsia="方正黑体简体" w:cs="方正黑体简体"/>
        </w:rPr>
        <w:t>3</w:t>
      </w:r>
      <w:r>
        <w:rPr>
          <w:rFonts w:hint="eastAsia" w:ascii="方正黑体简体" w:hAnsi="方正黑体简体" w:eastAsia="方正黑体简体" w:cs="方正黑体简体"/>
          <w:kern w:val="0"/>
          <w:szCs w:val="52"/>
        </w:rPr>
        <w:t xml:space="preserve">. </w:t>
      </w:r>
      <w:r>
        <w:fldChar w:fldCharType="begin"/>
      </w:r>
      <w:r>
        <w:instrText xml:space="preserve"> HYPERLINK \l "_Toc8771" </w:instrText>
      </w:r>
      <w:r>
        <w:fldChar w:fldCharType="separate"/>
      </w:r>
      <w:r>
        <w:rPr>
          <w:rFonts w:hint="eastAsia" w:ascii="方正黑体简体" w:hAnsi="方正黑体简体" w:eastAsia="方正黑体简体" w:cs="方正黑体简体"/>
        </w:rPr>
        <w:t>关于转发省住建厅《关于印发〈江苏省工程</w:t>
      </w:r>
      <w:r>
        <w:rPr>
          <w:rFonts w:hint="eastAsia" w:ascii="方正黑体简体" w:hAnsi="方正黑体简体" w:eastAsia="方正黑体简体" w:cs="方正黑体简体"/>
        </w:rPr>
        <w:fldChar w:fldCharType="end"/>
      </w:r>
      <w:r>
        <w:fldChar w:fldCharType="begin"/>
      </w:r>
      <w:r>
        <w:instrText xml:space="preserve"> HYPERLINK \l "_Toc31002" </w:instrText>
      </w:r>
      <w:r>
        <w:fldChar w:fldCharType="separate"/>
      </w:r>
      <w:r>
        <w:rPr>
          <w:rFonts w:hint="eastAsia" w:ascii="方正黑体简体" w:hAnsi="方正黑体简体" w:eastAsia="方正黑体简体" w:cs="方正黑体简体"/>
        </w:rPr>
        <w:t>造价从业人员信用管理办法〉的通知》的通知</w:t>
      </w:r>
      <w:r>
        <w:rPr>
          <w:rFonts w:hint="eastAsia" w:ascii="方正黑体简体" w:hAnsi="方正黑体简体" w:eastAsia="方正黑体简体" w:cs="方正黑体简体"/>
        </w:rPr>
        <w:fldChar w:fldCharType="end"/>
      </w:r>
    </w:p>
    <w:p>
      <w:pPr>
        <w:pStyle w:val="18"/>
        <w:tabs>
          <w:tab w:val="right" w:leader="dot" w:pos="8959"/>
        </w:tabs>
        <w:ind w:left="398" w:leftChars="142" w:firstLine="0" w:firstLineChars="0"/>
        <w:jc w:val="left"/>
        <w:rPr>
          <w:rFonts w:eastAsia="方正楷体_GBK"/>
        </w:rPr>
      </w:pPr>
      <w:r>
        <w:fldChar w:fldCharType="begin"/>
      </w:r>
      <w:r>
        <w:instrText xml:space="preserve"> HYPERLINK \l "_Toc24389" </w:instrText>
      </w:r>
      <w:r>
        <w:fldChar w:fldCharType="separate"/>
      </w:r>
      <w:r>
        <w:rPr>
          <w:rFonts w:hint="eastAsia" w:eastAsia="方正楷体_GBK"/>
        </w:rPr>
        <w:t>苏住建价〔2011〕3号</w:t>
      </w:r>
      <w:r>
        <w:rPr>
          <w:rFonts w:eastAsia="方正楷体_GBK"/>
        </w:rPr>
        <w:tab/>
      </w:r>
      <w:r>
        <w:rPr>
          <w:rFonts w:eastAsia="方正楷体_GBK"/>
        </w:rPr>
        <w:fldChar w:fldCharType="begin"/>
      </w:r>
      <w:r>
        <w:rPr>
          <w:rFonts w:eastAsia="方正楷体_GBK"/>
        </w:rPr>
        <w:instrText xml:space="preserve"> PAGEREF _Toc24389 \h </w:instrText>
      </w:r>
      <w:r>
        <w:rPr>
          <w:rFonts w:eastAsia="方正楷体_GBK"/>
        </w:rPr>
        <w:fldChar w:fldCharType="separate"/>
      </w:r>
      <w:r>
        <w:rPr>
          <w:rFonts w:eastAsia="方正楷体_GBK"/>
        </w:rPr>
        <w:t>6</w:t>
      </w:r>
      <w:r>
        <w:rPr>
          <w:rFonts w:eastAsia="方正楷体_GBK"/>
        </w:rPr>
        <w:fldChar w:fldCharType="end"/>
      </w:r>
      <w:r>
        <w:rPr>
          <w:rFonts w:eastAsia="方正楷体_GBK"/>
        </w:rPr>
        <w:fldChar w:fldCharType="end"/>
      </w:r>
    </w:p>
    <w:p>
      <w:pPr>
        <w:pStyle w:val="17"/>
        <w:tabs>
          <w:tab w:val="right" w:leader="dot" w:pos="8959"/>
        </w:tabs>
        <w:ind w:left="378" w:hanging="378" w:hangingChars="135"/>
        <w:jc w:val="left"/>
        <w:rPr>
          <w:rFonts w:ascii="方正黑体简体" w:hAnsi="方正黑体简体" w:eastAsia="方正黑体简体" w:cs="方正黑体简体"/>
        </w:rPr>
      </w:pPr>
      <w:r>
        <w:rPr>
          <w:rFonts w:hint="eastAsia" w:ascii="方正黑体简体" w:hAnsi="方正黑体简体" w:eastAsia="方正黑体简体" w:cs="方正黑体简体"/>
        </w:rPr>
        <w:t>4</w:t>
      </w:r>
      <w:r>
        <w:rPr>
          <w:rFonts w:hint="eastAsia" w:ascii="方正黑体简体" w:hAnsi="方正黑体简体" w:eastAsia="方正黑体简体" w:cs="方正黑体简体"/>
          <w:kern w:val="0"/>
          <w:szCs w:val="52"/>
        </w:rPr>
        <w:t xml:space="preserve">. </w:t>
      </w:r>
      <w:r>
        <w:fldChar w:fldCharType="begin"/>
      </w:r>
      <w:r>
        <w:instrText xml:space="preserve"> HYPERLINK \l "_Toc29050" </w:instrText>
      </w:r>
      <w:r>
        <w:fldChar w:fldCharType="separate"/>
      </w:r>
      <w:r>
        <w:rPr>
          <w:rFonts w:hint="eastAsia" w:ascii="方正黑体简体" w:hAnsi="方正黑体简体" w:eastAsia="方正黑体简体" w:cs="方正黑体简体"/>
        </w:rPr>
        <w:t>关于转发省住建厅《关于印发〈江苏省施工机械台班补充定额〉的通知》的通知</w:t>
      </w:r>
      <w:r>
        <w:rPr>
          <w:rFonts w:hint="eastAsia" w:ascii="方正黑体简体" w:hAnsi="方正黑体简体" w:eastAsia="方正黑体简体" w:cs="方正黑体简体"/>
        </w:rPr>
        <w:fldChar w:fldCharType="end"/>
      </w:r>
    </w:p>
    <w:p>
      <w:pPr>
        <w:pStyle w:val="18"/>
        <w:tabs>
          <w:tab w:val="right" w:leader="dot" w:pos="8959"/>
        </w:tabs>
        <w:ind w:left="398" w:leftChars="142" w:firstLine="0" w:firstLineChars="0"/>
        <w:jc w:val="left"/>
        <w:rPr>
          <w:rFonts w:eastAsia="方正楷体_GBK"/>
        </w:rPr>
      </w:pPr>
      <w:r>
        <w:fldChar w:fldCharType="begin"/>
      </w:r>
      <w:r>
        <w:instrText xml:space="preserve"> HYPERLINK \l "_Toc31201" </w:instrText>
      </w:r>
      <w:r>
        <w:fldChar w:fldCharType="separate"/>
      </w:r>
      <w:r>
        <w:rPr>
          <w:rFonts w:hint="eastAsia" w:eastAsia="方正楷体_GBK"/>
        </w:rPr>
        <w:t>苏住建价〔</w:t>
      </w:r>
      <w:r>
        <w:rPr>
          <w:rFonts w:eastAsia="方正楷体_GBK"/>
        </w:rPr>
        <w:t>2011</w:t>
      </w:r>
      <w:r>
        <w:rPr>
          <w:rFonts w:hint="eastAsia" w:eastAsia="方正楷体_GBK"/>
        </w:rPr>
        <w:t>〕</w:t>
      </w:r>
      <w:r>
        <w:rPr>
          <w:rFonts w:eastAsia="方正楷体_GBK"/>
        </w:rPr>
        <w:t>17</w:t>
      </w:r>
      <w:r>
        <w:rPr>
          <w:rFonts w:hint="eastAsia" w:eastAsia="方正楷体_GBK"/>
        </w:rPr>
        <w:t>号</w:t>
      </w:r>
      <w:r>
        <w:rPr>
          <w:rFonts w:eastAsia="方正楷体_GBK"/>
        </w:rPr>
        <w:tab/>
      </w:r>
      <w:r>
        <w:rPr>
          <w:rFonts w:eastAsia="方正楷体_GBK"/>
        </w:rPr>
        <w:fldChar w:fldCharType="begin"/>
      </w:r>
      <w:r>
        <w:rPr>
          <w:rFonts w:eastAsia="方正楷体_GBK"/>
        </w:rPr>
        <w:instrText xml:space="preserve"> PAGEREF _Toc31201 \h </w:instrText>
      </w:r>
      <w:r>
        <w:rPr>
          <w:rFonts w:eastAsia="方正楷体_GBK"/>
        </w:rPr>
        <w:fldChar w:fldCharType="separate"/>
      </w:r>
      <w:r>
        <w:rPr>
          <w:rFonts w:eastAsia="方正楷体_GBK"/>
        </w:rPr>
        <w:t>14</w:t>
      </w:r>
      <w:r>
        <w:rPr>
          <w:rFonts w:eastAsia="方正楷体_GBK"/>
        </w:rPr>
        <w:fldChar w:fldCharType="end"/>
      </w:r>
      <w:r>
        <w:rPr>
          <w:rFonts w:eastAsia="方正楷体_GBK"/>
        </w:rPr>
        <w:fldChar w:fldCharType="end"/>
      </w:r>
    </w:p>
    <w:p>
      <w:pPr>
        <w:pStyle w:val="17"/>
        <w:tabs>
          <w:tab w:val="right" w:leader="dot" w:pos="8959"/>
        </w:tabs>
        <w:ind w:left="378" w:hanging="378" w:hangingChars="135"/>
        <w:jc w:val="left"/>
        <w:rPr>
          <w:rFonts w:ascii="方正黑体简体" w:hAnsi="方正黑体简体" w:eastAsia="方正黑体简体" w:cs="方正黑体简体"/>
        </w:rPr>
      </w:pPr>
      <w:r>
        <w:rPr>
          <w:rFonts w:hint="eastAsia" w:ascii="方正黑体简体" w:hAnsi="方正黑体简体" w:eastAsia="方正黑体简体" w:cs="方正黑体简体"/>
        </w:rPr>
        <w:t>5</w:t>
      </w:r>
      <w:r>
        <w:rPr>
          <w:rFonts w:hint="eastAsia" w:ascii="方正黑体简体" w:hAnsi="方正黑体简体" w:eastAsia="方正黑体简体" w:cs="方正黑体简体"/>
          <w:kern w:val="0"/>
          <w:szCs w:val="52"/>
        </w:rPr>
        <w:t xml:space="preserve">. </w:t>
      </w:r>
      <w:r>
        <w:fldChar w:fldCharType="begin"/>
      </w:r>
      <w:r>
        <w:instrText xml:space="preserve"> HYPERLINK \l "_Toc20878" </w:instrText>
      </w:r>
      <w:r>
        <w:fldChar w:fldCharType="separate"/>
      </w:r>
      <w:r>
        <w:rPr>
          <w:rFonts w:hint="eastAsia" w:ascii="方正黑体简体" w:hAnsi="方正黑体简体" w:eastAsia="方正黑体简体" w:cs="方正黑体简体"/>
        </w:rPr>
        <w:t>关于转发省住建厅《关于调整建筑、装饰、安装、市政、修缮加固、城市轨道交通、仿古建筑及园林工程预算工资单价的通知》的通知</w:t>
      </w:r>
      <w:r>
        <w:rPr>
          <w:rFonts w:hint="eastAsia" w:ascii="方正黑体简体" w:hAnsi="方正黑体简体" w:eastAsia="方正黑体简体" w:cs="方正黑体简体"/>
        </w:rPr>
        <w:fldChar w:fldCharType="end"/>
      </w:r>
    </w:p>
    <w:p>
      <w:pPr>
        <w:pStyle w:val="18"/>
        <w:tabs>
          <w:tab w:val="right" w:leader="dot" w:pos="8959"/>
        </w:tabs>
        <w:ind w:left="398" w:leftChars="142" w:firstLine="0" w:firstLineChars="0"/>
        <w:jc w:val="left"/>
        <w:rPr>
          <w:rFonts w:eastAsia="方正楷体_GBK"/>
        </w:rPr>
      </w:pPr>
      <w:r>
        <w:fldChar w:fldCharType="begin"/>
      </w:r>
      <w:r>
        <w:instrText xml:space="preserve"> HYPERLINK \l "_Toc5896" </w:instrText>
      </w:r>
      <w:r>
        <w:fldChar w:fldCharType="separate"/>
      </w:r>
      <w:r>
        <w:rPr>
          <w:rFonts w:hint="eastAsia" w:eastAsia="方正楷体_GBK"/>
        </w:rPr>
        <w:t>苏住建价〔2012〕2号</w:t>
      </w:r>
      <w:r>
        <w:rPr>
          <w:rFonts w:eastAsia="方正楷体_GBK"/>
        </w:rPr>
        <w:tab/>
      </w:r>
      <w:r>
        <w:rPr>
          <w:rFonts w:eastAsia="方正楷体_GBK"/>
        </w:rPr>
        <w:fldChar w:fldCharType="begin"/>
      </w:r>
      <w:r>
        <w:rPr>
          <w:rFonts w:eastAsia="方正楷体_GBK"/>
        </w:rPr>
        <w:instrText xml:space="preserve"> PAGEREF _Toc5896 \h </w:instrText>
      </w:r>
      <w:r>
        <w:rPr>
          <w:rFonts w:eastAsia="方正楷体_GBK"/>
        </w:rPr>
        <w:fldChar w:fldCharType="separate"/>
      </w:r>
      <w:r>
        <w:rPr>
          <w:rFonts w:eastAsia="方正楷体_GBK"/>
        </w:rPr>
        <w:t>21</w:t>
      </w:r>
      <w:r>
        <w:rPr>
          <w:rFonts w:eastAsia="方正楷体_GBK"/>
        </w:rPr>
        <w:fldChar w:fldCharType="end"/>
      </w:r>
      <w:r>
        <w:rPr>
          <w:rFonts w:eastAsia="方正楷体_GBK"/>
        </w:rPr>
        <w:fldChar w:fldCharType="end"/>
      </w:r>
    </w:p>
    <w:p>
      <w:pPr>
        <w:pStyle w:val="17"/>
        <w:tabs>
          <w:tab w:val="right" w:leader="dot" w:pos="8959"/>
        </w:tabs>
        <w:ind w:left="378" w:hanging="378" w:hangingChars="135"/>
        <w:jc w:val="left"/>
        <w:rPr>
          <w:rFonts w:ascii="方正黑体简体" w:hAnsi="方正黑体简体" w:eastAsia="方正黑体简体" w:cs="方正黑体简体"/>
        </w:rPr>
      </w:pPr>
      <w:r>
        <w:rPr>
          <w:rFonts w:hint="eastAsia" w:ascii="方正黑体简体" w:hAnsi="方正黑体简体" w:eastAsia="方正黑体简体" w:cs="方正黑体简体"/>
        </w:rPr>
        <w:t>6</w:t>
      </w:r>
      <w:r>
        <w:rPr>
          <w:rFonts w:hint="eastAsia" w:ascii="方正黑体简体" w:hAnsi="方正黑体简体" w:eastAsia="方正黑体简体" w:cs="方正黑体简体"/>
          <w:kern w:val="0"/>
          <w:szCs w:val="52"/>
        </w:rPr>
        <w:t xml:space="preserve">. </w:t>
      </w:r>
      <w:r>
        <w:fldChar w:fldCharType="begin"/>
      </w:r>
      <w:r>
        <w:instrText xml:space="preserve"> HYPERLINK \l "_Toc14063" </w:instrText>
      </w:r>
      <w:r>
        <w:fldChar w:fldCharType="separate"/>
      </w:r>
      <w:r>
        <w:rPr>
          <w:rFonts w:hint="eastAsia" w:ascii="方正黑体简体" w:hAnsi="方正黑体简体" w:eastAsia="方正黑体简体" w:cs="方正黑体简体"/>
        </w:rPr>
        <w:t>关于转发省住房和城乡建设厅《关于对建设工程人工工资单价实行动态管理的通知》的通知</w:t>
      </w:r>
      <w:r>
        <w:rPr>
          <w:rFonts w:hint="eastAsia" w:ascii="方正黑体简体" w:hAnsi="方正黑体简体" w:eastAsia="方正黑体简体" w:cs="方正黑体简体"/>
        </w:rPr>
        <w:fldChar w:fldCharType="end"/>
      </w:r>
    </w:p>
    <w:p>
      <w:pPr>
        <w:pStyle w:val="18"/>
        <w:tabs>
          <w:tab w:val="right" w:leader="dot" w:pos="8959"/>
        </w:tabs>
        <w:ind w:left="398" w:leftChars="142" w:firstLine="0" w:firstLineChars="0"/>
        <w:jc w:val="left"/>
        <w:rPr>
          <w:rFonts w:eastAsia="方正楷体_GBK"/>
        </w:rPr>
      </w:pPr>
      <w:r>
        <w:fldChar w:fldCharType="begin"/>
      </w:r>
      <w:r>
        <w:instrText xml:space="preserve"> HYPERLINK \l "_Toc30252" </w:instrText>
      </w:r>
      <w:r>
        <w:fldChar w:fldCharType="separate"/>
      </w:r>
      <w:r>
        <w:rPr>
          <w:rFonts w:hint="eastAsia" w:eastAsia="方正楷体_GBK"/>
        </w:rPr>
        <w:t>苏住建价〔2012〕17号</w:t>
      </w:r>
      <w:r>
        <w:rPr>
          <w:rFonts w:eastAsia="方正楷体_GBK"/>
        </w:rPr>
        <w:tab/>
      </w:r>
      <w:r>
        <w:rPr>
          <w:rFonts w:eastAsia="方正楷体_GBK"/>
        </w:rPr>
        <w:fldChar w:fldCharType="begin"/>
      </w:r>
      <w:r>
        <w:rPr>
          <w:rFonts w:eastAsia="方正楷体_GBK"/>
        </w:rPr>
        <w:instrText xml:space="preserve"> PAGEREF _Toc30252 \h </w:instrText>
      </w:r>
      <w:r>
        <w:rPr>
          <w:rFonts w:eastAsia="方正楷体_GBK"/>
        </w:rPr>
        <w:fldChar w:fldCharType="separate"/>
      </w:r>
      <w:r>
        <w:rPr>
          <w:rFonts w:eastAsia="方正楷体_GBK"/>
        </w:rPr>
        <w:t>25</w:t>
      </w:r>
      <w:r>
        <w:rPr>
          <w:rFonts w:eastAsia="方正楷体_GBK"/>
        </w:rPr>
        <w:fldChar w:fldCharType="end"/>
      </w:r>
      <w:r>
        <w:rPr>
          <w:rFonts w:eastAsia="方正楷体_GBK"/>
        </w:rPr>
        <w:fldChar w:fldCharType="end"/>
      </w:r>
    </w:p>
    <w:p>
      <w:pPr>
        <w:pStyle w:val="17"/>
        <w:tabs>
          <w:tab w:val="right" w:leader="dot" w:pos="8959"/>
        </w:tabs>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kern w:val="0"/>
          <w:szCs w:val="52"/>
        </w:rPr>
        <w:t xml:space="preserve">7. </w:t>
      </w:r>
      <w:r>
        <w:fldChar w:fldCharType="begin"/>
      </w:r>
      <w:r>
        <w:instrText xml:space="preserve"> HYPERLINK \l "_Toc17203" </w:instrText>
      </w:r>
      <w:r>
        <w:fldChar w:fldCharType="separate"/>
      </w:r>
      <w:r>
        <w:rPr>
          <w:rFonts w:hint="eastAsia" w:ascii="方正黑体简体" w:hAnsi="方正黑体简体" w:eastAsia="方正黑体简体" w:cs="方正黑体简体"/>
        </w:rPr>
        <w:t>关于我市建设工程竣工结算差价调整的</w:t>
      </w:r>
      <w:r>
        <w:rPr>
          <w:rFonts w:hint="eastAsia" w:ascii="方正黑体简体" w:hAnsi="方正黑体简体" w:eastAsia="方正黑体简体" w:cs="方正黑体简体"/>
        </w:rPr>
        <w:fldChar w:fldCharType="end"/>
      </w:r>
      <w:r>
        <w:fldChar w:fldCharType="begin"/>
      </w:r>
      <w:r>
        <w:instrText xml:space="preserve"> HYPERLINK \l "_Toc23197" </w:instrText>
      </w:r>
      <w:r>
        <w:fldChar w:fldCharType="separate"/>
      </w:r>
      <w:r>
        <w:rPr>
          <w:rFonts w:hint="eastAsia" w:ascii="方正黑体简体" w:hAnsi="方正黑体简体" w:eastAsia="方正黑体简体" w:cs="方正黑体简体"/>
        </w:rPr>
        <w:t>指导意见</w:t>
      </w:r>
      <w:r>
        <w:rPr>
          <w:rFonts w:hint="eastAsia" w:ascii="方正黑体简体" w:hAnsi="方正黑体简体" w:eastAsia="方正黑体简体" w:cs="方正黑体简体"/>
        </w:rPr>
        <w:fldChar w:fldCharType="end"/>
      </w:r>
    </w:p>
    <w:p>
      <w:pPr>
        <w:pStyle w:val="18"/>
        <w:tabs>
          <w:tab w:val="right" w:leader="dot" w:pos="8959"/>
        </w:tabs>
        <w:ind w:left="560" w:firstLine="0" w:firstLineChars="0"/>
        <w:jc w:val="left"/>
        <w:rPr>
          <w:rFonts w:eastAsia="方正楷体_GBK"/>
        </w:rPr>
      </w:pPr>
      <w:r>
        <w:fldChar w:fldCharType="begin"/>
      </w:r>
      <w:r>
        <w:instrText xml:space="preserve"> HYPERLINK \l "_Toc10047" </w:instrText>
      </w:r>
      <w:r>
        <w:fldChar w:fldCharType="separate"/>
      </w:r>
      <w:r>
        <w:rPr>
          <w:rFonts w:hint="eastAsia" w:eastAsia="方正楷体_GBK"/>
        </w:rPr>
        <w:t>苏住建价〔2012〕19号</w:t>
      </w:r>
      <w:r>
        <w:rPr>
          <w:rFonts w:eastAsia="方正楷体_GBK"/>
        </w:rPr>
        <w:tab/>
      </w:r>
      <w:r>
        <w:rPr>
          <w:rFonts w:eastAsia="方正楷体_GBK"/>
        </w:rPr>
        <w:fldChar w:fldCharType="begin"/>
      </w:r>
      <w:r>
        <w:rPr>
          <w:rFonts w:eastAsia="方正楷体_GBK"/>
        </w:rPr>
        <w:instrText xml:space="preserve"> PAGEREF _Toc10047 \h </w:instrText>
      </w:r>
      <w:r>
        <w:rPr>
          <w:rFonts w:eastAsia="方正楷体_GBK"/>
        </w:rPr>
        <w:fldChar w:fldCharType="separate"/>
      </w:r>
      <w:r>
        <w:rPr>
          <w:rFonts w:eastAsia="方正楷体_GBK"/>
        </w:rPr>
        <w:t>30</w:t>
      </w:r>
      <w:r>
        <w:rPr>
          <w:rFonts w:eastAsia="方正楷体_GBK"/>
        </w:rPr>
        <w:fldChar w:fldCharType="end"/>
      </w:r>
      <w:r>
        <w:rPr>
          <w:rFonts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kern w:val="0"/>
          <w:szCs w:val="52"/>
        </w:rPr>
        <w:t xml:space="preserve">8. </w:t>
      </w:r>
      <w:r>
        <w:fldChar w:fldCharType="begin"/>
      </w:r>
      <w:r>
        <w:instrText xml:space="preserve"> HYPERLINK \l "_Toc7841" </w:instrText>
      </w:r>
      <w:r>
        <w:fldChar w:fldCharType="separate"/>
      </w:r>
      <w:r>
        <w:rPr>
          <w:rFonts w:hint="eastAsia" w:ascii="方正黑体简体" w:hAnsi="方正黑体简体" w:eastAsia="方正黑体简体" w:cs="方正黑体简体"/>
          <w:w w:val="95"/>
        </w:rPr>
        <w:t>关于转发省住建厅《关于发布建设工程</w:t>
      </w:r>
      <w:r>
        <w:rPr>
          <w:rFonts w:hint="eastAsia" w:ascii="方正黑体简体" w:hAnsi="方正黑体简体" w:eastAsia="方正黑体简体" w:cs="方正黑体简体"/>
          <w:w w:val="95"/>
        </w:rPr>
        <w:fldChar w:fldCharType="end"/>
      </w:r>
      <w:r>
        <w:fldChar w:fldCharType="begin"/>
      </w:r>
      <w:r>
        <w:instrText xml:space="preserve"> HYPERLINK \l "_Toc7117" </w:instrText>
      </w:r>
      <w:r>
        <w:fldChar w:fldCharType="separate"/>
      </w:r>
      <w:r>
        <w:rPr>
          <w:rFonts w:hint="eastAsia" w:ascii="方正黑体简体" w:hAnsi="方正黑体简体" w:eastAsia="方正黑体简体" w:cs="方正黑体简体"/>
          <w:w w:val="95"/>
        </w:rPr>
        <w:t>人工工资指导价的通知》的通知</w:t>
      </w:r>
      <w:r>
        <w:rPr>
          <w:rFonts w:hint="eastAsia" w:ascii="方正黑体简体" w:hAnsi="方正黑体简体" w:eastAsia="方正黑体简体" w:cs="方正黑体简体"/>
          <w:w w:val="95"/>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"_Toc31936" </w:instrText>
      </w:r>
      <w:r>
        <w:fldChar w:fldCharType="separate"/>
      </w:r>
      <w:r>
        <w:rPr>
          <w:rFonts w:hint="eastAsia" w:eastAsia="方正楷体_GBK"/>
        </w:rPr>
        <w:t>苏住建价〔2013〕1号</w:t>
      </w:r>
      <w:r>
        <w:rPr>
          <w:rFonts w:hint="eastAsia" w:eastAsia="方正楷体_GBK"/>
        </w:rPr>
        <w:tab/>
      </w:r>
      <w:r>
        <w:rPr>
          <w:rFonts w:hint="eastAsia" w:eastAsia="方正楷体_GBK"/>
        </w:rPr>
        <w:fldChar w:fldCharType="begin"/>
      </w:r>
      <w:r>
        <w:rPr>
          <w:rFonts w:hint="eastAsia" w:eastAsia="方正楷体_GBK"/>
        </w:rPr>
        <w:instrText xml:space="preserve"> PAGEREF _Toc31936 \h </w:instrText>
      </w:r>
      <w:r>
        <w:rPr>
          <w:rFonts w:hint="eastAsia" w:eastAsia="方正楷体_GBK"/>
        </w:rPr>
        <w:fldChar w:fldCharType="separate"/>
      </w:r>
      <w:r>
        <w:rPr>
          <w:rFonts w:hint="eastAsia" w:eastAsia="方正楷体_GBK"/>
        </w:rPr>
        <w:t>33</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pPr>
      <w:r>
        <w:rPr>
          <w:rFonts w:hint="eastAsia" w:ascii="方正黑体简体" w:hAnsi="方正黑体简体" w:eastAsia="方正黑体简体" w:cs="方正黑体简体"/>
          <w:kern w:val="0"/>
          <w:szCs w:val="52"/>
        </w:rPr>
        <w:t xml:space="preserve">9. </w:t>
      </w:r>
      <w:r>
        <w:fldChar w:fldCharType="begin"/>
      </w:r>
      <w:r>
        <w:instrText xml:space="preserve"> HYPERLINK \l "_Toc11626" </w:instrText>
      </w:r>
      <w:r>
        <w:fldChar w:fldCharType="separate"/>
      </w:r>
      <w:r>
        <w:rPr>
          <w:rFonts w:hint="eastAsia" w:ascii="方正黑体简体" w:hAnsi="方正黑体简体" w:eastAsia="方正黑体简体" w:cs="方正黑体简体"/>
        </w:rPr>
        <w:t>市住房城乡建设局关于贯彻执行《建设工程</w:t>
      </w:r>
      <w:r>
        <w:rPr>
          <w:rFonts w:hint="eastAsia" w:ascii="方正黑体简体" w:hAnsi="方正黑体简体" w:eastAsia="方正黑体简体" w:cs="方正黑体简体"/>
        </w:rPr>
        <w:fldChar w:fldCharType="end"/>
      </w:r>
      <w:r>
        <w:fldChar w:fldCharType="begin"/>
      </w:r>
      <w:r>
        <w:instrText xml:space="preserve"> HYPERLINK \l "_Toc28962" </w:instrText>
      </w:r>
      <w:r>
        <w:fldChar w:fldCharType="separate"/>
      </w:r>
      <w:r>
        <w:rPr>
          <w:rFonts w:hint="eastAsia" w:ascii="方正黑体简体" w:hAnsi="方正黑体简体" w:eastAsia="方正黑体简体" w:cs="方正黑体简体"/>
        </w:rPr>
        <w:t>工程量清单计价规范》（GB50500-2013）、</w:t>
      </w:r>
      <w:r>
        <w:rPr>
          <w:rFonts w:hint="eastAsia" w:ascii="方正黑体简体" w:hAnsi="方正黑体简体" w:eastAsia="方正黑体简体" w:cs="方正黑体简体"/>
        </w:rPr>
        <w:fldChar w:fldCharType="end"/>
      </w:r>
      <w:r>
        <w:fldChar w:fldCharType="begin"/>
      </w:r>
      <w:r>
        <w:instrText xml:space="preserve"> HYPERLINK \l "_Toc29712" </w:instrText>
      </w:r>
      <w:r>
        <w:fldChar w:fldCharType="separate"/>
      </w:r>
      <w:r>
        <w:rPr>
          <w:rFonts w:hint="eastAsia" w:ascii="方正黑体简体" w:hAnsi="方正黑体简体" w:eastAsia="方正黑体简体" w:cs="方正黑体简体"/>
        </w:rPr>
        <w:t>9本工程量计算规范及2014年江苏省</w:t>
      </w:r>
      <w:r>
        <w:rPr>
          <w:rFonts w:hint="eastAsia" w:ascii="方正黑体简体" w:hAnsi="方正黑体简体" w:eastAsia="方正黑体简体" w:cs="方正黑体简体"/>
        </w:rPr>
        <w:fldChar w:fldCharType="end"/>
      </w:r>
      <w:r>
        <w:fldChar w:fldCharType="begin"/>
      </w:r>
      <w:r>
        <w:instrText xml:space="preserve"> HYPERLINK \l "_Toc22774" </w:instrText>
      </w:r>
      <w:r>
        <w:fldChar w:fldCharType="separate"/>
      </w:r>
      <w:r>
        <w:rPr>
          <w:rFonts w:hint="eastAsia" w:ascii="方正黑体简体" w:hAnsi="方正黑体简体" w:eastAsia="方正黑体简体" w:cs="方正黑体简体"/>
        </w:rPr>
        <w:t>计价定额和费用定额的通知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"_Toc18639" </w:instrText>
      </w:r>
      <w:r>
        <w:fldChar w:fldCharType="separate"/>
      </w:r>
      <w:r>
        <w:rPr>
          <w:rFonts w:hint="eastAsia" w:eastAsia="方正楷体_GBK"/>
        </w:rPr>
        <w:t>苏住建价〔2014〕4号</w:t>
      </w:r>
      <w:r>
        <w:rPr>
          <w:rFonts w:hint="eastAsia" w:eastAsia="方正楷体_GBK"/>
        </w:rPr>
        <w:tab/>
      </w:r>
      <w:r>
        <w:rPr>
          <w:rFonts w:hint="eastAsia" w:eastAsia="方正楷体_GBK"/>
        </w:rPr>
        <w:fldChar w:fldCharType="begin"/>
      </w:r>
      <w:r>
        <w:rPr>
          <w:rFonts w:hint="eastAsia" w:eastAsia="方正楷体_GBK"/>
        </w:rPr>
        <w:instrText xml:space="preserve"> PAGEREF _Toc18639 \h </w:instrText>
      </w:r>
      <w:r>
        <w:rPr>
          <w:rFonts w:hint="eastAsia" w:eastAsia="方正楷体_GBK"/>
        </w:rPr>
        <w:fldChar w:fldCharType="separate"/>
      </w:r>
      <w:r>
        <w:rPr>
          <w:rFonts w:hint="eastAsia" w:eastAsia="方正楷体_GBK"/>
        </w:rPr>
        <w:t>37</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10</w:t>
      </w:r>
      <w:r>
        <w:rPr>
          <w:rFonts w:hint="eastAsia" w:ascii="方正黑体简体" w:hAnsi="方正黑体简体" w:eastAsia="方正黑体简体" w:cs="方正黑体简体"/>
          <w:kern w:val="0"/>
          <w:szCs w:val="52"/>
        </w:rPr>
        <w:t xml:space="preserve">. </w:t>
      </w:r>
      <w:r>
        <w:fldChar w:fldCharType="begin"/>
      </w:r>
      <w:r>
        <w:instrText xml:space="preserve"> HYPERLINK \l "_Toc29189" </w:instrText>
      </w:r>
      <w:r>
        <w:fldChar w:fldCharType="separate"/>
      </w:r>
      <w:r>
        <w:rPr>
          <w:rFonts w:hint="eastAsia" w:ascii="方正黑体简体" w:hAnsi="方正黑体简体" w:eastAsia="方正黑体简体" w:cs="方正黑体简体"/>
        </w:rPr>
        <w:t>市住房城乡建设局关于转发《省住房城乡建设厅关于发布建设工程人工工资指导价</w:t>
      </w:r>
      <w:r>
        <w:rPr>
          <w:rFonts w:hint="eastAsia" w:ascii="方正黑体简体" w:hAnsi="方正黑体简体" w:eastAsia="方正黑体简体" w:cs="方正黑体简体"/>
        </w:rPr>
        <w:fldChar w:fldCharType="end"/>
      </w:r>
      <w:r>
        <w:fldChar w:fldCharType="begin"/>
      </w:r>
      <w:r>
        <w:instrText xml:space="preserve"> HYPERLINK \l "_Toc11502" </w:instrText>
      </w:r>
      <w:r>
        <w:fldChar w:fldCharType="separate"/>
      </w:r>
      <w:r>
        <w:rPr>
          <w:rFonts w:hint="eastAsia" w:ascii="方正黑体简体" w:hAnsi="方正黑体简体" w:eastAsia="方正黑体简体" w:cs="方正黑体简体"/>
        </w:rPr>
        <w:t>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"_Toc5221" </w:instrText>
      </w:r>
      <w:r>
        <w:fldChar w:fldCharType="separate"/>
      </w:r>
      <w:r>
        <w:rPr>
          <w:rFonts w:hint="eastAsia" w:eastAsia="方正楷体_GBK"/>
        </w:rPr>
        <w:t>苏住建价〔2015〕1号</w:t>
      </w:r>
      <w:r>
        <w:rPr>
          <w:rFonts w:hint="eastAsia" w:eastAsia="方正楷体_GBK"/>
        </w:rPr>
        <w:tab/>
      </w:r>
      <w:r>
        <w:rPr>
          <w:rFonts w:hint="eastAsia" w:eastAsia="方正楷体_GBK"/>
        </w:rPr>
        <w:fldChar w:fldCharType="begin"/>
      </w:r>
      <w:r>
        <w:rPr>
          <w:rFonts w:hint="eastAsia" w:eastAsia="方正楷体_GBK"/>
        </w:rPr>
        <w:instrText xml:space="preserve"> PAGEREF _Toc5221 \h </w:instrText>
      </w:r>
      <w:r>
        <w:rPr>
          <w:rFonts w:hint="eastAsia" w:eastAsia="方正楷体_GBK"/>
        </w:rPr>
        <w:fldChar w:fldCharType="separate"/>
      </w:r>
      <w:r>
        <w:rPr>
          <w:rFonts w:hint="eastAsia" w:eastAsia="方正楷体_GBK"/>
        </w:rPr>
        <w:t>55</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11</w:t>
      </w:r>
      <w:r>
        <w:rPr>
          <w:rFonts w:hint="eastAsia" w:ascii="方正黑体简体" w:hAnsi="方正黑体简体" w:eastAsia="方正黑体简体" w:cs="方正黑体简体"/>
          <w:kern w:val="0"/>
          <w:szCs w:val="52"/>
        </w:rPr>
        <w:t xml:space="preserve">. </w:t>
      </w:r>
      <w:r>
        <w:fldChar w:fldCharType="begin"/>
      </w:r>
      <w:r>
        <w:instrText xml:space="preserve"> HYPERLINK \l "_Toc6052" </w:instrText>
      </w:r>
      <w:r>
        <w:fldChar w:fldCharType="separate"/>
      </w:r>
      <w:r>
        <w:rPr>
          <w:rFonts w:hint="eastAsia" w:ascii="方正黑体简体" w:hAnsi="方正黑体简体" w:eastAsia="方正黑体简体" w:cs="方正黑体简体"/>
        </w:rPr>
        <w:t>市住房城乡建设局关于贯彻执行《省住房城乡建设厅关于建筑业实施营改增后江苏省建设工程计价依据调整的通知》的通知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"_Toc25800" </w:instrText>
      </w:r>
      <w:r>
        <w:fldChar w:fldCharType="separate"/>
      </w:r>
      <w:r>
        <w:rPr>
          <w:rFonts w:hint="eastAsia" w:eastAsia="方正楷体_GBK"/>
        </w:rPr>
        <w:t>苏住建价〔2016〕3号</w:t>
      </w:r>
      <w:r>
        <w:rPr>
          <w:rFonts w:hint="eastAsia" w:eastAsia="方正楷体_GBK"/>
        </w:rPr>
        <w:tab/>
      </w:r>
      <w:r>
        <w:rPr>
          <w:rFonts w:hint="eastAsia" w:eastAsia="方正楷体_GBK"/>
        </w:rPr>
        <w:fldChar w:fldCharType="begin"/>
      </w:r>
      <w:r>
        <w:rPr>
          <w:rFonts w:hint="eastAsia" w:eastAsia="方正楷体_GBK"/>
        </w:rPr>
        <w:instrText xml:space="preserve"> PAGEREF _Toc25800 \h </w:instrText>
      </w:r>
      <w:r>
        <w:rPr>
          <w:rFonts w:hint="eastAsia" w:eastAsia="方正楷体_GBK"/>
        </w:rPr>
        <w:fldChar w:fldCharType="separate"/>
      </w:r>
      <w:r>
        <w:rPr>
          <w:rFonts w:hint="eastAsia" w:eastAsia="方正楷体_GBK"/>
        </w:rPr>
        <w:t>59</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12</w:t>
      </w:r>
      <w:r>
        <w:rPr>
          <w:rFonts w:hint="eastAsia" w:ascii="方正黑体简体" w:hAnsi="方正黑体简体" w:eastAsia="方正黑体简体" w:cs="方正黑体简体"/>
          <w:kern w:val="0"/>
          <w:szCs w:val="52"/>
        </w:rPr>
        <w:t xml:space="preserve">. </w:t>
      </w:r>
      <w:r>
        <w:fldChar w:fldCharType="begin"/>
      </w:r>
      <w:r>
        <w:instrText xml:space="preserve"> HYPERLINK \l "_Toc14725" </w:instrText>
      </w:r>
      <w:r>
        <w:fldChar w:fldCharType="separate"/>
      </w:r>
      <w:r>
        <w:rPr>
          <w:rFonts w:hint="eastAsia" w:ascii="方正黑体简体" w:hAnsi="方正黑体简体" w:eastAsia="方正黑体简体" w:cs="方正黑体简体"/>
        </w:rPr>
        <w:t>关于转发《省住房城乡建设厅关于贯彻执行</w:t>
      </w:r>
      <w:r>
        <w:rPr>
          <w:rFonts w:hint="eastAsia" w:ascii="方正黑体简体" w:hAnsi="方正黑体简体" w:eastAsia="方正黑体简体" w:cs="方正黑体简体"/>
        </w:rPr>
        <w:fldChar w:fldCharType="end"/>
      </w:r>
      <w:r>
        <w:fldChar w:fldCharType="begin"/>
      </w:r>
      <w:r>
        <w:instrText xml:space="preserve"> HYPERLINK \l "_Toc31322" </w:instrText>
      </w:r>
      <w:r>
        <w:fldChar w:fldCharType="separate"/>
      </w:r>
      <w:r>
        <w:rPr>
          <w:rFonts w:hint="eastAsia" w:ascii="方正黑体简体" w:hAnsi="方正黑体简体" w:eastAsia="方正黑体简体" w:cs="方正黑体简体"/>
        </w:rPr>
        <w:t>&lt;建筑安装工程工期定额&gt;的通知》的通知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"_Toc29506" </w:instrText>
      </w:r>
      <w:r>
        <w:fldChar w:fldCharType="separate"/>
      </w:r>
      <w:r>
        <w:rPr>
          <w:rFonts w:hint="eastAsia" w:eastAsia="方正楷体_GBK"/>
        </w:rPr>
        <w:t>苏建函价〔2017〕30号</w:t>
      </w:r>
      <w:r>
        <w:rPr>
          <w:rFonts w:hint="eastAsia" w:eastAsia="方正楷体_GBK"/>
        </w:rPr>
        <w:tab/>
      </w:r>
      <w:r>
        <w:rPr>
          <w:rFonts w:hint="eastAsia" w:eastAsia="方正楷体_GBK"/>
        </w:rPr>
        <w:fldChar w:fldCharType="begin"/>
      </w:r>
      <w:r>
        <w:rPr>
          <w:rFonts w:hint="eastAsia" w:eastAsia="方正楷体_GBK"/>
        </w:rPr>
        <w:instrText xml:space="preserve"> PAGEREF _Toc29506 \h </w:instrText>
      </w:r>
      <w:r>
        <w:rPr>
          <w:rFonts w:hint="eastAsia" w:eastAsia="方正楷体_GBK"/>
        </w:rPr>
        <w:fldChar w:fldCharType="separate"/>
      </w:r>
      <w:r>
        <w:rPr>
          <w:rFonts w:hint="eastAsia" w:eastAsia="方正楷体_GBK"/>
        </w:rPr>
        <w:t>72</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13</w:t>
      </w:r>
      <w:r>
        <w:rPr>
          <w:rFonts w:hint="eastAsia" w:ascii="方正黑体简体" w:hAnsi="方正黑体简体" w:eastAsia="方正黑体简体" w:cs="方正黑体简体"/>
          <w:kern w:val="0"/>
          <w:szCs w:val="52"/>
        </w:rPr>
        <w:t xml:space="preserve">. </w:t>
      </w:r>
      <w:r>
        <w:fldChar w:fldCharType="begin"/>
      </w:r>
      <w:r>
        <w:instrText xml:space="preserve"> HYPERLINK \l "_Toc19497" </w:instrText>
      </w:r>
      <w:r>
        <w:fldChar w:fldCharType="separate"/>
      </w:r>
      <w:r>
        <w:rPr>
          <w:rFonts w:hint="eastAsia" w:ascii="方正黑体简体" w:hAnsi="方正黑体简体" w:eastAsia="方正黑体简体" w:cs="方正黑体简体"/>
        </w:rPr>
        <w:t>市住房城乡建设局关于贯彻执行《省住房城乡建设厅关于印发&lt;江苏省装配式混凝土建筑工程定额&gt;（试行）的通知》的通知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"_Toc24622" </w:instrText>
      </w:r>
      <w:r>
        <w:fldChar w:fldCharType="separate"/>
      </w:r>
      <w:r>
        <w:rPr>
          <w:rFonts w:hint="eastAsia" w:eastAsia="方正楷体_GBK"/>
        </w:rPr>
        <w:t>苏住建价〔2017〕3号</w:t>
      </w:r>
      <w:r>
        <w:rPr>
          <w:rFonts w:hint="eastAsia" w:eastAsia="方正楷体_GBK"/>
        </w:rPr>
        <w:tab/>
      </w:r>
      <w:r>
        <w:rPr>
          <w:rFonts w:hint="eastAsia" w:eastAsia="方正楷体_GBK"/>
        </w:rPr>
        <w:fldChar w:fldCharType="begin"/>
      </w:r>
      <w:r>
        <w:rPr>
          <w:rFonts w:hint="eastAsia" w:eastAsia="方正楷体_GBK"/>
        </w:rPr>
        <w:instrText xml:space="preserve"> PAGEREF _Toc24622 \h </w:instrText>
      </w:r>
      <w:r>
        <w:rPr>
          <w:rFonts w:hint="eastAsia" w:eastAsia="方正楷体_GBK"/>
        </w:rPr>
        <w:fldChar w:fldCharType="separate"/>
      </w:r>
      <w:r>
        <w:rPr>
          <w:rFonts w:hint="eastAsia" w:eastAsia="方正楷体_GBK"/>
        </w:rPr>
        <w:t>76</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14</w:t>
      </w:r>
      <w:r>
        <w:rPr>
          <w:rFonts w:hint="eastAsia" w:ascii="方正黑体简体" w:hAnsi="方正黑体简体" w:eastAsia="方正黑体简体" w:cs="方正黑体简体"/>
          <w:kern w:val="0"/>
          <w:szCs w:val="52"/>
        </w:rPr>
        <w:t xml:space="preserve">. </w:t>
      </w:r>
      <w:r>
        <w:fldChar w:fldCharType="begin"/>
      </w:r>
      <w:r>
        <w:instrText xml:space="preserve"> HYPERLINK \l "_Toc26760" </w:instrText>
      </w:r>
      <w:r>
        <w:fldChar w:fldCharType="separate"/>
      </w:r>
      <w:r>
        <w:rPr>
          <w:rFonts w:hint="eastAsia" w:ascii="方正黑体简体" w:hAnsi="方正黑体简体" w:eastAsia="方正黑体简体" w:cs="方正黑体简体"/>
        </w:rPr>
        <w:t>市住房城乡建设局关于转发《省住房城乡</w:t>
      </w:r>
      <w:r>
        <w:rPr>
          <w:rFonts w:hint="eastAsia" w:ascii="方正黑体简体" w:hAnsi="方正黑体简体" w:eastAsia="方正黑体简体" w:cs="方正黑体简体"/>
        </w:rPr>
        <w:fldChar w:fldCharType="end"/>
      </w:r>
      <w:r>
        <w:fldChar w:fldCharType="begin"/>
      </w:r>
      <w:r>
        <w:instrText xml:space="preserve"> HYPERLINK \l "_Toc32623" </w:instrText>
      </w:r>
      <w:r>
        <w:fldChar w:fldCharType="separate"/>
      </w:r>
      <w:r>
        <w:rPr>
          <w:rFonts w:hint="eastAsia" w:ascii="方正黑体简体" w:hAnsi="方正黑体简体" w:eastAsia="方正黑体简体" w:cs="方正黑体简体"/>
        </w:rPr>
        <w:t>建设厅关于建筑业增值税计价</w:t>
      </w:r>
      <w:r>
        <w:rPr>
          <w:rFonts w:hint="eastAsia" w:ascii="方正黑体简体" w:hAnsi="方正黑体简体" w:eastAsia="方正黑体简体" w:cs="方正黑体简体"/>
        </w:rPr>
        <w:fldChar w:fldCharType="end"/>
      </w:r>
      <w:r>
        <w:fldChar w:fldCharType="begin"/>
      </w:r>
      <w:r>
        <w:instrText xml:space="preserve"> HYPERLINK \l "_Toc29509" </w:instrText>
      </w:r>
      <w:r>
        <w:fldChar w:fldCharType="separate"/>
      </w:r>
      <w:r>
        <w:rPr>
          <w:rFonts w:hint="eastAsia" w:ascii="方正黑体简体" w:hAnsi="方正黑体简体" w:eastAsia="方正黑体简体" w:cs="方正黑体简体"/>
        </w:rPr>
        <w:t>政策调整的通知》的通知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"_Toc11395" </w:instrText>
      </w:r>
      <w:r>
        <w:fldChar w:fldCharType="separate"/>
      </w:r>
      <w:r>
        <w:rPr>
          <w:rFonts w:hint="eastAsia" w:eastAsia="方正楷体_GBK"/>
        </w:rPr>
        <w:t>苏住建价〔2018〕2号</w:t>
      </w:r>
      <w:r>
        <w:rPr>
          <w:rFonts w:hint="eastAsia" w:eastAsia="方正楷体_GBK"/>
        </w:rPr>
        <w:tab/>
      </w:r>
      <w:r>
        <w:rPr>
          <w:rFonts w:hint="eastAsia" w:eastAsia="方正楷体_GBK"/>
        </w:rPr>
        <w:fldChar w:fldCharType="begin"/>
      </w:r>
      <w:r>
        <w:rPr>
          <w:rFonts w:hint="eastAsia" w:eastAsia="方正楷体_GBK"/>
        </w:rPr>
        <w:instrText xml:space="preserve"> PAGEREF _Toc11395 \h </w:instrText>
      </w:r>
      <w:r>
        <w:rPr>
          <w:rFonts w:hint="eastAsia" w:eastAsia="方正楷体_GBK"/>
        </w:rPr>
        <w:fldChar w:fldCharType="separate"/>
      </w:r>
      <w:r>
        <w:rPr>
          <w:rFonts w:hint="eastAsia" w:eastAsia="方正楷体_GBK"/>
        </w:rPr>
        <w:t>79</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15</w:t>
      </w:r>
      <w:r>
        <w:rPr>
          <w:rFonts w:hint="eastAsia" w:ascii="方正黑体简体" w:hAnsi="方正黑体简体" w:eastAsia="方正黑体简体" w:cs="方正黑体简体"/>
          <w:kern w:val="0"/>
          <w:szCs w:val="52"/>
        </w:rPr>
        <w:t xml:space="preserve">. </w:t>
      </w:r>
      <w:r>
        <w:fldChar w:fldCharType="begin"/>
      </w:r>
      <w:r>
        <w:instrText xml:space="preserve"> HYPERLINK \l "_Toc7379" </w:instrText>
      </w:r>
      <w:r>
        <w:fldChar w:fldCharType="separate"/>
      </w:r>
      <w:r>
        <w:rPr>
          <w:rFonts w:hint="eastAsia" w:ascii="方正黑体简体" w:hAnsi="方正黑体简体" w:eastAsia="方正黑体简体" w:cs="方正黑体简体"/>
        </w:rPr>
        <w:t>市住房城乡建设局关于贯彻落实《省住房城乡建设厅关于调整建设工程按质论价等费用</w:t>
      </w:r>
      <w:r>
        <w:rPr>
          <w:rFonts w:hint="eastAsia" w:ascii="方正黑体简体" w:hAnsi="方正黑体简体" w:eastAsia="方正黑体简体" w:cs="方正黑体简体"/>
        </w:rPr>
        <w:fldChar w:fldCharType="end"/>
      </w:r>
      <w:r>
        <w:fldChar w:fldCharType="begin"/>
      </w:r>
      <w:r>
        <w:instrText xml:space="preserve"> HYPERLINK \l "_Toc26871" </w:instrText>
      </w:r>
      <w:r>
        <w:fldChar w:fldCharType="separate"/>
      </w:r>
      <w:r>
        <w:rPr>
          <w:rFonts w:hint="eastAsia" w:ascii="方正黑体简体" w:hAnsi="方正黑体简体" w:eastAsia="方正黑体简体" w:cs="方正黑体简体"/>
        </w:rPr>
        <w:t>计取方法的公告》的通知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"_Toc25047" </w:instrText>
      </w:r>
      <w:r>
        <w:fldChar w:fldCharType="separate"/>
      </w:r>
      <w:r>
        <w:rPr>
          <w:rFonts w:hint="eastAsia" w:eastAsia="方正楷体_GBK"/>
        </w:rPr>
        <w:t>苏住建建〔2018〕38号</w:t>
      </w:r>
      <w:r>
        <w:rPr>
          <w:rFonts w:hint="eastAsia" w:eastAsia="方正楷体_GBK"/>
        </w:rPr>
        <w:tab/>
      </w:r>
      <w:r>
        <w:rPr>
          <w:rFonts w:hint="eastAsia" w:eastAsia="方正楷体_GBK"/>
        </w:rPr>
        <w:fldChar w:fldCharType="begin"/>
      </w:r>
      <w:r>
        <w:rPr>
          <w:rFonts w:hint="eastAsia" w:eastAsia="方正楷体_GBK"/>
        </w:rPr>
        <w:instrText xml:space="preserve"> PAGEREF _Toc25047 \h </w:instrText>
      </w:r>
      <w:r>
        <w:rPr>
          <w:rFonts w:hint="eastAsia" w:eastAsia="方正楷体_GBK"/>
        </w:rPr>
        <w:fldChar w:fldCharType="separate"/>
      </w:r>
      <w:r>
        <w:rPr>
          <w:rFonts w:hint="eastAsia" w:eastAsia="方正楷体_GBK"/>
        </w:rPr>
        <w:t>82</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16</w:t>
      </w:r>
      <w:r>
        <w:rPr>
          <w:rFonts w:hint="eastAsia" w:ascii="方正黑体简体" w:hAnsi="方正黑体简体" w:eastAsia="方正黑体简体" w:cs="方正黑体简体"/>
          <w:kern w:val="0"/>
          <w:szCs w:val="52"/>
        </w:rPr>
        <w:t xml:space="preserve">. </w:t>
      </w:r>
      <w:r>
        <w:fldChar w:fldCharType="begin"/>
      </w:r>
      <w:r>
        <w:instrText xml:space="preserve"> HYPERLINK \l "_Toc25272" </w:instrText>
      </w:r>
      <w:r>
        <w:fldChar w:fldCharType="separate"/>
      </w:r>
      <w:r>
        <w:rPr>
          <w:rFonts w:hint="eastAsia" w:ascii="方正黑体简体" w:hAnsi="方正黑体简体" w:eastAsia="方正黑体简体" w:cs="方正黑体简体"/>
        </w:rPr>
        <w:t>市住房城乡建设局关于转发《省住房</w:t>
      </w:r>
      <w:r>
        <w:rPr>
          <w:rFonts w:hint="eastAsia" w:ascii="方正黑体简体" w:hAnsi="方正黑体简体" w:eastAsia="方正黑体简体" w:cs="方正黑体简体"/>
        </w:rPr>
        <w:fldChar w:fldCharType="end"/>
      </w:r>
      <w:r>
        <w:fldChar w:fldCharType="begin"/>
      </w:r>
      <w:r>
        <w:instrText xml:space="preserve"> HYPERLINK \l "_Toc26088" </w:instrText>
      </w:r>
      <w:r>
        <w:fldChar w:fldCharType="separate"/>
      </w:r>
      <w:r>
        <w:rPr>
          <w:rFonts w:hint="eastAsia" w:ascii="方正黑体简体" w:hAnsi="方正黑体简体" w:eastAsia="方正黑体简体" w:cs="方正黑体简体"/>
        </w:rPr>
        <w:t>城乡建设厅关于调整建设工程计价</w:t>
      </w:r>
      <w:r>
        <w:rPr>
          <w:rFonts w:hint="eastAsia" w:ascii="方正黑体简体" w:hAnsi="方正黑体简体" w:eastAsia="方正黑体简体" w:cs="方正黑体简体"/>
        </w:rPr>
        <w:fldChar w:fldCharType="end"/>
      </w:r>
      <w:r>
        <w:fldChar w:fldCharType="begin"/>
      </w:r>
      <w:r>
        <w:instrText xml:space="preserve"> HYPERLINK \l "_Toc12751" </w:instrText>
      </w:r>
      <w:r>
        <w:fldChar w:fldCharType="separate"/>
      </w:r>
      <w:r>
        <w:rPr>
          <w:rFonts w:hint="eastAsia" w:ascii="方正黑体简体" w:hAnsi="方正黑体简体" w:eastAsia="方正黑体简体" w:cs="方正黑体简体"/>
        </w:rPr>
        <w:t>增值税税率的通知》的通知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"_Toc6579" </w:instrText>
      </w:r>
      <w:r>
        <w:fldChar w:fldCharType="separate"/>
      </w:r>
      <w:r>
        <w:rPr>
          <w:rFonts w:hint="eastAsia" w:eastAsia="方正楷体_GBK"/>
        </w:rPr>
        <w:t>苏住建建〔2019〕17号</w:t>
      </w:r>
      <w:r>
        <w:rPr>
          <w:rFonts w:hint="eastAsia" w:eastAsia="方正楷体_GBK"/>
        </w:rPr>
        <w:tab/>
      </w:r>
      <w:r>
        <w:rPr>
          <w:rFonts w:hint="eastAsia" w:eastAsia="方正楷体_GBK"/>
        </w:rPr>
        <w:fldChar w:fldCharType="begin"/>
      </w:r>
      <w:r>
        <w:rPr>
          <w:rFonts w:hint="eastAsia" w:eastAsia="方正楷体_GBK"/>
        </w:rPr>
        <w:instrText xml:space="preserve"> PAGEREF _Toc6579 \h </w:instrText>
      </w:r>
      <w:r>
        <w:rPr>
          <w:rFonts w:hint="eastAsia" w:eastAsia="方正楷体_GBK"/>
        </w:rPr>
        <w:fldChar w:fldCharType="separate"/>
      </w:r>
      <w:r>
        <w:rPr>
          <w:rFonts w:hint="eastAsia" w:eastAsia="方正楷体_GBK"/>
        </w:rPr>
        <w:t>92</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17</w:t>
      </w:r>
      <w:r>
        <w:rPr>
          <w:rFonts w:hint="eastAsia" w:ascii="方正黑体简体" w:hAnsi="方正黑体简体" w:eastAsia="方正黑体简体" w:cs="方正黑体简体"/>
          <w:kern w:val="0"/>
          <w:szCs w:val="52"/>
        </w:rPr>
        <w:t xml:space="preserve">. </w:t>
      </w:r>
      <w:r>
        <w:fldChar w:fldCharType="begin"/>
      </w:r>
      <w:r>
        <w:instrText xml:space="preserve"> HYPERLINK \l "_Toc16280" </w:instrText>
      </w:r>
      <w:r>
        <w:fldChar w:fldCharType="separate"/>
      </w:r>
      <w:r>
        <w:rPr>
          <w:rFonts w:hint="eastAsia" w:ascii="方正黑体简体" w:hAnsi="方正黑体简体" w:eastAsia="方正黑体简体" w:cs="方正黑体简体"/>
        </w:rPr>
        <w:t>市住房城乡建设局关于贯彻执行《省住房城乡建设厅关于印发〈江苏省城市地下综合管廊</w:t>
      </w:r>
      <w:r>
        <w:rPr>
          <w:rFonts w:hint="eastAsia" w:ascii="方正黑体简体" w:hAnsi="方正黑体简体" w:eastAsia="方正黑体简体" w:cs="方正黑体简体"/>
        </w:rPr>
        <w:fldChar w:fldCharType="end"/>
      </w:r>
      <w:r>
        <w:fldChar w:fldCharType="begin"/>
      </w:r>
      <w:r>
        <w:instrText xml:space="preserve"> HYPERLINK \l "_Toc13764" </w:instrText>
      </w:r>
      <w:r>
        <w:fldChar w:fldCharType="separate"/>
      </w:r>
      <w:r>
        <w:rPr>
          <w:rFonts w:hint="eastAsia" w:ascii="方正黑体简体" w:hAnsi="方正黑体简体" w:eastAsia="方正黑体简体" w:cs="方正黑体简体"/>
        </w:rPr>
        <w:t>计价定额〉〈江苏省城市地下综合管廊</w:t>
      </w:r>
      <w:r>
        <w:rPr>
          <w:rFonts w:hint="eastAsia" w:ascii="方正黑体简体" w:hAnsi="方正黑体简体" w:eastAsia="方正黑体简体" w:cs="方正黑体简体"/>
        </w:rPr>
        <w:fldChar w:fldCharType="end"/>
      </w:r>
      <w:r>
        <w:fldChar w:fldCharType="begin"/>
      </w:r>
      <w:r>
        <w:instrText xml:space="preserve"> HYPERLINK \l "_Toc23053" </w:instrText>
      </w:r>
      <w:r>
        <w:fldChar w:fldCharType="separate"/>
      </w:r>
      <w:r>
        <w:rPr>
          <w:rFonts w:hint="eastAsia" w:ascii="方正黑体简体" w:hAnsi="方正黑体简体" w:eastAsia="方正黑体简体" w:cs="方正黑体简体"/>
        </w:rPr>
        <w:t>费用定额〉和〈江苏省城市地下综合管廊</w:t>
      </w:r>
      <w:r>
        <w:rPr>
          <w:rFonts w:hint="eastAsia" w:ascii="方正黑体简体" w:hAnsi="方正黑体简体" w:eastAsia="方正黑体简体" w:cs="方正黑体简体"/>
        </w:rPr>
        <w:fldChar w:fldCharType="end"/>
      </w:r>
      <w:r>
        <w:fldChar w:fldCharType="begin"/>
      </w:r>
      <w:r>
        <w:instrText xml:space="preserve"> HYPERLINK \l "_Toc6968" </w:instrText>
      </w:r>
      <w:r>
        <w:fldChar w:fldCharType="separate"/>
      </w:r>
      <w:r>
        <w:rPr>
          <w:rFonts w:hint="eastAsia" w:ascii="方正黑体简体" w:hAnsi="方正黑体简体" w:eastAsia="方正黑体简体" w:cs="方正黑体简体"/>
        </w:rPr>
        <w:t>工程量计算规范〉的通知》的通知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"_Toc15658" </w:instrText>
      </w:r>
      <w:r>
        <w:fldChar w:fldCharType="separate"/>
      </w:r>
      <w:r>
        <w:rPr>
          <w:rFonts w:hint="eastAsia" w:eastAsia="方正楷体_GBK"/>
        </w:rPr>
        <w:t>苏住建建〔2019〕19号</w:t>
      </w:r>
      <w:r>
        <w:rPr>
          <w:rFonts w:hint="eastAsia" w:eastAsia="方正楷体_GBK"/>
        </w:rPr>
        <w:tab/>
      </w:r>
      <w:r>
        <w:rPr>
          <w:rFonts w:hint="eastAsia" w:eastAsia="方正楷体_GBK"/>
        </w:rPr>
        <w:fldChar w:fldCharType="begin"/>
      </w:r>
      <w:r>
        <w:rPr>
          <w:rFonts w:hint="eastAsia" w:eastAsia="方正楷体_GBK"/>
        </w:rPr>
        <w:instrText xml:space="preserve"> PAGEREF _Toc15658 \h </w:instrText>
      </w:r>
      <w:r>
        <w:rPr>
          <w:rFonts w:hint="eastAsia" w:eastAsia="方正楷体_GBK"/>
        </w:rPr>
        <w:fldChar w:fldCharType="separate"/>
      </w:r>
      <w:r>
        <w:rPr>
          <w:rFonts w:hint="eastAsia" w:eastAsia="方正楷体_GBK"/>
        </w:rPr>
        <w:t>95</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18</w:t>
      </w:r>
      <w:r>
        <w:rPr>
          <w:rFonts w:hint="eastAsia" w:ascii="方正黑体简体" w:hAnsi="方正黑体简体" w:eastAsia="方正黑体简体" w:cs="方正黑体简体"/>
          <w:kern w:val="0"/>
          <w:szCs w:val="52"/>
        </w:rPr>
        <w:t xml:space="preserve">. </w:t>
      </w:r>
      <w:r>
        <w:fldChar w:fldCharType="begin"/>
      </w:r>
      <w:r>
        <w:instrText xml:space="preserve"> HYPERLINK \l "_Toc20251" </w:instrText>
      </w:r>
      <w:r>
        <w:fldChar w:fldCharType="separate"/>
      </w:r>
      <w:r>
        <w:rPr>
          <w:rFonts w:hint="eastAsia" w:ascii="方正黑体简体" w:hAnsi="方正黑体简体" w:eastAsia="方正黑体简体" w:cs="方正黑体简体"/>
        </w:rPr>
        <w:t>市住房城乡建设局关于贯彻执行《省住房</w:t>
      </w:r>
      <w:r>
        <w:rPr>
          <w:rFonts w:hint="eastAsia" w:ascii="方正黑体简体" w:hAnsi="方正黑体简体" w:eastAsia="方正黑体简体" w:cs="方正黑体简体"/>
        </w:rPr>
        <w:fldChar w:fldCharType="end"/>
      </w:r>
      <w:r>
        <w:fldChar w:fldCharType="begin"/>
      </w:r>
      <w:r>
        <w:instrText xml:space="preserve"> HYPERLINK \l "_Toc21670" </w:instrText>
      </w:r>
      <w:r>
        <w:fldChar w:fldCharType="separate"/>
      </w:r>
      <w:r>
        <w:rPr>
          <w:rFonts w:hint="eastAsia" w:ascii="方正黑体简体" w:hAnsi="方正黑体简体" w:eastAsia="方正黑体简体" w:cs="方正黑体简体"/>
        </w:rPr>
        <w:t>城乡建设厅关于建筑工人实名制费用</w:t>
      </w:r>
      <w:r>
        <w:rPr>
          <w:rFonts w:hint="eastAsia" w:ascii="方正黑体简体" w:hAnsi="方正黑体简体" w:eastAsia="方正黑体简体" w:cs="方正黑体简体"/>
        </w:rPr>
        <w:fldChar w:fldCharType="end"/>
      </w:r>
      <w:r>
        <w:fldChar w:fldCharType="begin"/>
      </w:r>
      <w:r>
        <w:instrText xml:space="preserve"> HYPERLINK \l "_Toc27086" </w:instrText>
      </w:r>
      <w:r>
        <w:fldChar w:fldCharType="separate"/>
      </w:r>
      <w:r>
        <w:rPr>
          <w:rFonts w:hint="eastAsia" w:ascii="方正黑体简体" w:hAnsi="方正黑体简体" w:eastAsia="方正黑体简体" w:cs="方正黑体简体"/>
        </w:rPr>
        <w:t>计取方法的公告》的通知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"_Toc18003" </w:instrText>
      </w:r>
      <w:r>
        <w:fldChar w:fldCharType="separate"/>
      </w:r>
      <w:r>
        <w:rPr>
          <w:rFonts w:hint="eastAsia" w:eastAsia="方正楷体_GBK"/>
        </w:rPr>
        <w:t>苏住建建〔2019〕32号</w:t>
      </w:r>
      <w:r>
        <w:rPr>
          <w:rFonts w:hint="eastAsia" w:eastAsia="方正楷体_GBK"/>
        </w:rPr>
        <w:tab/>
      </w:r>
      <w:r>
        <w:rPr>
          <w:rFonts w:hint="eastAsia" w:eastAsia="方正楷体_GBK"/>
        </w:rPr>
        <w:fldChar w:fldCharType="begin"/>
      </w:r>
      <w:r>
        <w:rPr>
          <w:rFonts w:hint="eastAsia" w:eastAsia="方正楷体_GBK"/>
        </w:rPr>
        <w:instrText xml:space="preserve"> PAGEREF _Toc18003 \h </w:instrText>
      </w:r>
      <w:r>
        <w:rPr>
          <w:rFonts w:hint="eastAsia" w:eastAsia="方正楷体_GBK"/>
        </w:rPr>
        <w:fldChar w:fldCharType="separate"/>
      </w:r>
      <w:r>
        <w:rPr>
          <w:rFonts w:hint="eastAsia" w:eastAsia="方正楷体_GBK"/>
        </w:rPr>
        <w:t>100</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19</w:t>
      </w:r>
      <w:r>
        <w:rPr>
          <w:rFonts w:hint="eastAsia" w:ascii="方正黑体简体" w:hAnsi="方正黑体简体" w:eastAsia="方正黑体简体" w:cs="方正黑体简体"/>
          <w:kern w:val="0"/>
          <w:szCs w:val="52"/>
        </w:rPr>
        <w:t xml:space="preserve">. </w:t>
      </w:r>
      <w:r>
        <w:fldChar w:fldCharType="begin"/>
      </w:r>
      <w:r>
        <w:instrText xml:space="preserve"> HYPERLINK \l "_Toc25083" </w:instrText>
      </w:r>
      <w:r>
        <w:fldChar w:fldCharType="separate"/>
      </w:r>
      <w:r>
        <w:rPr>
          <w:rFonts w:hint="eastAsia" w:ascii="方正黑体简体" w:hAnsi="方正黑体简体" w:eastAsia="方正黑体简体" w:cs="方正黑体简体"/>
        </w:rPr>
        <w:t>关于贯彻落实《省住房和城乡建设厅</w:t>
      </w:r>
      <w:r>
        <w:rPr>
          <w:rFonts w:hint="eastAsia" w:ascii="方正黑体简体" w:hAnsi="方正黑体简体" w:eastAsia="方正黑体简体" w:cs="方正黑体简体"/>
        </w:rPr>
        <w:fldChar w:fldCharType="end"/>
      </w:r>
      <w:r>
        <w:fldChar w:fldCharType="begin"/>
      </w:r>
      <w:r>
        <w:instrText xml:space="preserve"> HYPERLINK \l "_Toc30975" </w:instrText>
      </w:r>
      <w:r>
        <w:fldChar w:fldCharType="separate"/>
      </w:r>
      <w:r>
        <w:rPr>
          <w:rFonts w:hint="eastAsia" w:ascii="方正黑体简体" w:hAnsi="方正黑体简体" w:eastAsia="方正黑体简体" w:cs="方正黑体简体"/>
        </w:rPr>
        <w:t>关于实施安全文明施工措施费动态</w:t>
      </w:r>
      <w:r>
        <w:rPr>
          <w:rFonts w:hint="eastAsia" w:ascii="方正黑体简体" w:hAnsi="方正黑体简体" w:eastAsia="方正黑体简体" w:cs="方正黑体简体"/>
        </w:rPr>
        <w:fldChar w:fldCharType="end"/>
      </w:r>
      <w:r>
        <w:fldChar w:fldCharType="begin"/>
      </w:r>
      <w:r>
        <w:instrText xml:space="preserve"> HYPERLINK \l "_Toc26363" </w:instrText>
      </w:r>
      <w:r>
        <w:fldChar w:fldCharType="separate"/>
      </w:r>
      <w:r>
        <w:rPr>
          <w:rFonts w:hint="eastAsia" w:ascii="方正黑体简体" w:hAnsi="方正黑体简体" w:eastAsia="方正黑体简体" w:cs="方正黑体简体"/>
        </w:rPr>
        <w:t>计价管理的公告》的通知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"_Toc26797" </w:instrText>
      </w:r>
      <w:r>
        <w:fldChar w:fldCharType="separate"/>
      </w:r>
      <w:r>
        <w:rPr>
          <w:rFonts w:hint="eastAsia" w:eastAsia="方正楷体_GBK"/>
        </w:rPr>
        <w:t>苏建函建〔2020〕122号</w:t>
      </w:r>
      <w:r>
        <w:rPr>
          <w:rFonts w:hint="eastAsia" w:eastAsia="方正楷体_GBK"/>
        </w:rPr>
        <w:tab/>
      </w:r>
      <w:r>
        <w:rPr>
          <w:rFonts w:hint="eastAsia" w:eastAsia="方正楷体_GBK"/>
        </w:rPr>
        <w:fldChar w:fldCharType="begin"/>
      </w:r>
      <w:r>
        <w:rPr>
          <w:rFonts w:hint="eastAsia" w:eastAsia="方正楷体_GBK"/>
        </w:rPr>
        <w:instrText xml:space="preserve"> PAGEREF _Toc26797 \h </w:instrText>
      </w:r>
      <w:r>
        <w:rPr>
          <w:rFonts w:hint="eastAsia" w:eastAsia="方正楷体_GBK"/>
        </w:rPr>
        <w:fldChar w:fldCharType="separate"/>
      </w:r>
      <w:r>
        <w:rPr>
          <w:rFonts w:hint="eastAsia" w:eastAsia="方正楷体_GBK"/>
        </w:rPr>
        <w:t>106</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20</w:t>
      </w:r>
      <w:r>
        <w:rPr>
          <w:rFonts w:hint="eastAsia" w:ascii="方正黑体简体" w:hAnsi="方正黑体简体" w:eastAsia="方正黑体简体" w:cs="方正黑体简体"/>
          <w:kern w:val="0"/>
          <w:szCs w:val="52"/>
        </w:rPr>
        <w:t xml:space="preserve">. </w:t>
      </w:r>
      <w:r>
        <w:rPr>
          <w:rFonts w:hint="eastAsia" w:ascii="方正黑体简体" w:hAnsi="方正黑体简体" w:eastAsia="方正黑体简体" w:cs="方正黑体简体"/>
        </w:rPr>
        <w:t>市住房城乡建设局关于印发《苏州市工程造价咨询行业信用评价办法》的通知</w:t>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"_Toc23469" </w:instrText>
      </w:r>
      <w:r>
        <w:fldChar w:fldCharType="separate"/>
      </w:r>
      <w:r>
        <w:rPr>
          <w:rFonts w:hint="eastAsia" w:eastAsia="方正楷体_GBK"/>
        </w:rPr>
        <w:t>苏住建建〔2020〕19号</w:t>
      </w:r>
      <w:r>
        <w:rPr>
          <w:rFonts w:hint="eastAsia" w:eastAsia="方正楷体_GBK"/>
        </w:rPr>
        <w:tab/>
      </w:r>
      <w:r>
        <w:rPr>
          <w:rFonts w:hint="eastAsia" w:eastAsia="方正楷体_GBK"/>
        </w:rPr>
        <w:fldChar w:fldCharType="begin"/>
      </w:r>
      <w:r>
        <w:rPr>
          <w:rFonts w:hint="eastAsia" w:eastAsia="方正楷体_GBK"/>
        </w:rPr>
        <w:instrText xml:space="preserve"> PAGEREF _Toc23469 \h </w:instrText>
      </w:r>
      <w:r>
        <w:rPr>
          <w:rFonts w:hint="eastAsia" w:eastAsia="方正楷体_GBK"/>
        </w:rPr>
        <w:fldChar w:fldCharType="separate"/>
      </w:r>
      <w:r>
        <w:rPr>
          <w:rFonts w:hint="eastAsia" w:eastAsia="方正楷体_GBK"/>
        </w:rPr>
        <w:t>112</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21</w:t>
      </w:r>
      <w:r>
        <w:rPr>
          <w:rFonts w:hint="eastAsia" w:ascii="方正黑体简体" w:hAnsi="方正黑体简体" w:eastAsia="方正黑体简体" w:cs="方正黑体简体"/>
          <w:kern w:val="0"/>
          <w:szCs w:val="52"/>
        </w:rPr>
        <w:t xml:space="preserve">. </w:t>
      </w:r>
      <w:r>
        <w:fldChar w:fldCharType="begin"/>
      </w:r>
      <w:r>
        <w:instrText xml:space="preserve"> HYPERLINK \l "_Toc27412" </w:instrText>
      </w:r>
      <w:r>
        <w:fldChar w:fldCharType="separate"/>
      </w:r>
      <w:r>
        <w:rPr>
          <w:rFonts w:hint="eastAsia" w:ascii="方正黑体简体" w:hAnsi="方正黑体简体" w:eastAsia="方正黑体简体" w:cs="方正黑体简体"/>
        </w:rPr>
        <w:t>市住房城乡建设局关于在工程计价措施费中</w:t>
      </w:r>
      <w:r>
        <w:rPr>
          <w:rFonts w:hint="eastAsia" w:ascii="方正黑体简体" w:hAnsi="方正黑体简体" w:eastAsia="方正黑体简体" w:cs="方正黑体简体"/>
        </w:rPr>
        <w:fldChar w:fldCharType="end"/>
      </w:r>
      <w:r>
        <w:fldChar w:fldCharType="begin"/>
      </w:r>
      <w:r>
        <w:instrText xml:space="preserve"> HYPERLINK \l "_Toc12191" </w:instrText>
      </w:r>
      <w:r>
        <w:fldChar w:fldCharType="separate"/>
      </w:r>
      <w:r>
        <w:rPr>
          <w:rFonts w:hint="eastAsia" w:ascii="方正黑体简体" w:hAnsi="方正黑体简体" w:eastAsia="方正黑体简体" w:cs="方正黑体简体"/>
        </w:rPr>
        <w:t>增列“苏安码管理增加费”的通知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"_Toc27087" </w:instrText>
      </w:r>
      <w:r>
        <w:fldChar w:fldCharType="separate"/>
      </w:r>
      <w:r>
        <w:rPr>
          <w:rFonts w:hint="eastAsia" w:eastAsia="方正楷体_GBK"/>
        </w:rPr>
        <w:t>苏住建建〔2020〕26号</w:t>
      </w:r>
      <w:r>
        <w:rPr>
          <w:rFonts w:hint="eastAsia" w:eastAsia="方正楷体_GBK"/>
        </w:rPr>
        <w:tab/>
      </w:r>
      <w:r>
        <w:rPr>
          <w:rFonts w:hint="eastAsia" w:eastAsia="方正楷体_GBK"/>
        </w:rPr>
        <w:fldChar w:fldCharType="begin"/>
      </w:r>
      <w:r>
        <w:rPr>
          <w:rFonts w:hint="eastAsia" w:eastAsia="方正楷体_GBK"/>
        </w:rPr>
        <w:instrText xml:space="preserve"> PAGEREF _Toc27087 \h </w:instrText>
      </w:r>
      <w:r>
        <w:rPr>
          <w:rFonts w:hint="eastAsia" w:eastAsia="方正楷体_GBK"/>
        </w:rPr>
        <w:fldChar w:fldCharType="separate"/>
      </w:r>
      <w:r>
        <w:rPr>
          <w:rFonts w:hint="eastAsia" w:eastAsia="方正楷体_GBK"/>
        </w:rPr>
        <w:t>124</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38" w:hanging="537" w:hangingChars="192"/>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22</w:t>
      </w:r>
      <w:r>
        <w:rPr>
          <w:rFonts w:hint="eastAsia" w:ascii="方正黑体简体" w:hAnsi="方正黑体简体" w:eastAsia="方正黑体简体" w:cs="方正黑体简体"/>
          <w:kern w:val="0"/>
          <w:szCs w:val="52"/>
        </w:rPr>
        <w:t xml:space="preserve">. </w:t>
      </w:r>
      <w:r>
        <w:fldChar w:fldCharType="begin"/>
      </w:r>
      <w:r>
        <w:instrText xml:space="preserve"> HYPERLINK \l "_Toc24753" </w:instrText>
      </w:r>
      <w:r>
        <w:fldChar w:fldCharType="separate"/>
      </w:r>
      <w:r>
        <w:rPr>
          <w:rFonts w:hint="eastAsia" w:ascii="方正黑体简体" w:hAnsi="方正黑体简体" w:eastAsia="方正黑体简体" w:cs="方正黑体简体"/>
        </w:rPr>
        <w:t>市住房城乡建设局关于明确新冠肺炎</w:t>
      </w:r>
      <w:r>
        <w:rPr>
          <w:rFonts w:hint="eastAsia" w:ascii="方正黑体简体" w:hAnsi="方正黑体简体" w:eastAsia="方正黑体简体" w:cs="方正黑体简体"/>
        </w:rPr>
        <w:fldChar w:fldCharType="end"/>
      </w:r>
      <w:r>
        <w:fldChar w:fldCharType="begin"/>
      </w:r>
      <w:r>
        <w:instrText xml:space="preserve"> HYPERLINK \l "_Toc7161" </w:instrText>
      </w:r>
      <w:r>
        <w:fldChar w:fldCharType="separate"/>
      </w:r>
      <w:r>
        <w:rPr>
          <w:rFonts w:hint="eastAsia" w:ascii="方正黑体简体" w:hAnsi="方正黑体简体" w:eastAsia="方正黑体简体" w:cs="方正黑体简体"/>
        </w:rPr>
        <w:t>疫情影响下我市建设工程施工合同履约</w:t>
      </w:r>
      <w:r>
        <w:rPr>
          <w:rFonts w:hint="eastAsia" w:ascii="方正黑体简体" w:hAnsi="方正黑体简体" w:eastAsia="方正黑体简体" w:cs="方正黑体简体"/>
        </w:rPr>
        <w:fldChar w:fldCharType="end"/>
      </w:r>
      <w:r>
        <w:fldChar w:fldCharType="begin"/>
      </w:r>
      <w:r>
        <w:instrText xml:space="preserve"> HYPERLINK \l "_Toc6532" </w:instrText>
      </w:r>
      <w:r>
        <w:fldChar w:fldCharType="separate"/>
      </w:r>
      <w:r>
        <w:rPr>
          <w:rFonts w:hint="eastAsia" w:ascii="方正黑体简体" w:hAnsi="方正黑体简体" w:eastAsia="方正黑体简体" w:cs="方正黑体简体"/>
        </w:rPr>
        <w:t>及工程价款调整的通知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"_Toc1501" </w:instrText>
      </w:r>
      <w:r>
        <w:fldChar w:fldCharType="separate"/>
      </w:r>
      <w:r>
        <w:rPr>
          <w:rFonts w:hint="eastAsia" w:eastAsia="方正楷体_GBK"/>
        </w:rPr>
        <w:t>苏住建建〔2020〕27号</w:t>
      </w:r>
      <w:r>
        <w:rPr>
          <w:rFonts w:hint="eastAsia" w:eastAsia="方正楷体_GBK"/>
        </w:rPr>
        <w:tab/>
      </w:r>
      <w:r>
        <w:rPr>
          <w:rFonts w:hint="eastAsia" w:eastAsia="方正楷体_GBK"/>
        </w:rPr>
        <w:fldChar w:fldCharType="begin"/>
      </w:r>
      <w:r>
        <w:rPr>
          <w:rFonts w:hint="eastAsia" w:eastAsia="方正楷体_GBK"/>
        </w:rPr>
        <w:instrText xml:space="preserve"> PAGEREF _Toc1501 \h </w:instrText>
      </w:r>
      <w:r>
        <w:rPr>
          <w:rFonts w:hint="eastAsia" w:eastAsia="方正楷体_GBK"/>
        </w:rPr>
        <w:fldChar w:fldCharType="separate"/>
      </w:r>
      <w:r>
        <w:rPr>
          <w:rFonts w:hint="eastAsia" w:eastAsia="方正楷体_GBK"/>
        </w:rPr>
        <w:t>126</w:t>
      </w:r>
      <w:r>
        <w:rPr>
          <w:rFonts w:hint="eastAsia" w:eastAsia="方正楷体_GBK"/>
        </w:rPr>
        <w:fldChar w:fldCharType="end"/>
      </w:r>
      <w:r>
        <w:rPr>
          <w:rFonts w:hint="eastAsia" w:eastAsia="方正楷体_GBK"/>
        </w:rPr>
        <w:fldChar w:fldCharType="end"/>
      </w:r>
    </w:p>
    <w:p>
      <w:pPr>
        <w:pStyle w:val="17"/>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firstLine="0" w:firstLineChars="0"/>
        <w:jc w:val="left"/>
        <w:textAlignment w:val="auto"/>
        <w:rPr>
          <w:rFonts w:ascii="方正黑体简体" w:hAnsi="方正黑体简体" w:eastAsia="方正黑体简体" w:cs="方正黑体简体"/>
        </w:rPr>
      </w:pPr>
      <w:r>
        <w:rPr>
          <w:rFonts w:hint="eastAsia" w:ascii="方正黑体简体" w:hAnsi="方正黑体简体" w:eastAsia="方正黑体简体" w:cs="方正黑体简体"/>
        </w:rPr>
        <w:t>23</w:t>
      </w:r>
      <w:r>
        <w:rPr>
          <w:rFonts w:hint="eastAsia" w:ascii="方正黑体简体" w:hAnsi="方正黑体简体" w:eastAsia="方正黑体简体" w:cs="方正黑体简体"/>
          <w:kern w:val="0"/>
          <w:szCs w:val="52"/>
        </w:rPr>
        <w:t xml:space="preserve">. </w:t>
      </w:r>
      <w:r>
        <w:fldChar w:fldCharType="begin"/>
      </w:r>
      <w:r>
        <w:instrText xml:space="preserve"> HYPERLINK \l "_Toc20981" </w:instrText>
      </w:r>
      <w:r>
        <w:fldChar w:fldCharType="separate"/>
      </w:r>
      <w:r>
        <w:rPr>
          <w:rFonts w:hint="eastAsia" w:ascii="方正黑体简体" w:hAnsi="方正黑体简体" w:eastAsia="方正黑体简体" w:cs="方正黑体简体"/>
        </w:rPr>
        <w:t>关于做好建设工程年终结算</w:t>
      </w:r>
      <w:r>
        <w:rPr>
          <w:rFonts w:hint="eastAsia" w:ascii="方正黑体简体" w:hAnsi="方正黑体简体" w:eastAsia="方正黑体简体" w:cs="方正黑体简体"/>
        </w:rPr>
        <w:fldChar w:fldCharType="end"/>
      </w:r>
      <w:r>
        <w:fldChar w:fldCharType="begin"/>
      </w:r>
      <w:r>
        <w:instrText xml:space="preserve"> HYPERLINK \l "_Toc17204" </w:instrText>
      </w:r>
      <w:r>
        <w:fldChar w:fldCharType="separate"/>
      </w:r>
      <w:r>
        <w:rPr>
          <w:rFonts w:hint="eastAsia" w:ascii="方正黑体简体" w:hAnsi="方正黑体简体" w:eastAsia="方正黑体简体" w:cs="方正黑体简体"/>
        </w:rPr>
        <w:t>确保农民工工资按时支付的通知</w:t>
      </w:r>
      <w:r>
        <w:rPr>
          <w:rFonts w:hint="eastAsia" w:ascii="方正黑体简体" w:hAnsi="方正黑体简体" w:eastAsia="方正黑体简体" w:cs="方正黑体简体"/>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firstLine="0" w:firstLineChars="0"/>
        <w:jc w:val="left"/>
        <w:textAlignment w:val="auto"/>
        <w:rPr>
          <w:rFonts w:eastAsia="方正楷体_GBK"/>
        </w:rPr>
      </w:pPr>
      <w:r>
        <w:fldChar w:fldCharType="begin"/>
      </w:r>
      <w:r>
        <w:instrText xml:space="preserve"> HYPERLINK \l "_Toc6832" </w:instrText>
      </w:r>
      <w:r>
        <w:fldChar w:fldCharType="separate"/>
      </w:r>
      <w:r>
        <w:rPr>
          <w:rFonts w:hint="eastAsia" w:eastAsia="方正楷体_GBK"/>
        </w:rPr>
        <w:t>苏建函建〔2020〕384号</w:t>
      </w:r>
      <w:r>
        <w:rPr>
          <w:rFonts w:hint="eastAsia" w:eastAsia="方正楷体_GBK"/>
        </w:rPr>
        <w:tab/>
      </w:r>
      <w:r>
        <w:rPr>
          <w:rFonts w:hint="eastAsia" w:eastAsia="方正楷体_GBK"/>
        </w:rPr>
        <w:fldChar w:fldCharType="begin"/>
      </w:r>
      <w:r>
        <w:rPr>
          <w:rFonts w:hint="eastAsia" w:eastAsia="方正楷体_GBK"/>
        </w:rPr>
        <w:instrText xml:space="preserve"> PAGEREF _Toc6832 \h </w:instrText>
      </w:r>
      <w:r>
        <w:rPr>
          <w:rFonts w:hint="eastAsia" w:eastAsia="方正楷体_GBK"/>
        </w:rPr>
        <w:fldChar w:fldCharType="separate"/>
      </w:r>
      <w:r>
        <w:rPr>
          <w:rFonts w:hint="eastAsia" w:eastAsia="方正楷体_GBK"/>
        </w:rPr>
        <w:t>131</w:t>
      </w:r>
      <w:r>
        <w:rPr>
          <w:rFonts w:hint="eastAsia" w:eastAsia="方正楷体_GBK"/>
        </w:rPr>
        <w:fldChar w:fldCharType="end"/>
      </w:r>
      <w:r>
        <w:rPr>
          <w:rFonts w:hint="eastAsia" w:eastAsia="方正楷体_GBK"/>
        </w:rPr>
        <w:fldChar w:fldCharType="end"/>
      </w:r>
    </w:p>
    <w:p>
      <w:pPr>
        <w:pStyle w:val="18"/>
        <w:keepNext w:val="0"/>
        <w:keepLines w:val="0"/>
        <w:pageBreakBefore w:val="0"/>
        <w:widowControl w:val="0"/>
        <w:tabs>
          <w:tab w:val="right" w:leader="dot" w:pos="8959"/>
        </w:tabs>
        <w:kinsoku/>
        <w:wordWrap/>
        <w:overflowPunct/>
        <w:topLinePunct w:val="0"/>
        <w:autoSpaceDE/>
        <w:autoSpaceDN/>
        <w:bidi w:val="0"/>
        <w:adjustRightInd/>
        <w:snapToGrid/>
        <w:spacing w:line="560" w:lineRule="exact"/>
        <w:ind w:left="560" w:leftChars="0" w:hanging="560" w:hangingChars="200"/>
        <w:jc w:val="left"/>
        <w:textAlignment w:val="auto"/>
        <w:rPr>
          <w:rFonts w:eastAsia="方正楷体_GBK"/>
        </w:rPr>
      </w:pPr>
      <w:r>
        <w:rPr>
          <w:rFonts w:hint="eastAsia" w:ascii="方正黑体简体" w:hAnsi="方正黑体简体" w:eastAsia="方正黑体简体" w:cs="方正黑体简体"/>
        </w:rPr>
        <w:t xml:space="preserve">24. </w:t>
      </w:r>
      <w:r>
        <w:fldChar w:fldCharType="begin"/>
      </w:r>
      <w:r>
        <w:instrText xml:space="preserve"> HYPERLINK \l "_Toc15064" </w:instrText>
      </w:r>
      <w:r>
        <w:fldChar w:fldCharType="separate"/>
      </w:r>
      <w:r>
        <w:rPr>
          <w:rFonts w:hint="eastAsia" w:ascii="方正黑体简体" w:hAnsi="方正黑体简体" w:eastAsia="方正黑体简体" w:cs="方正黑体简体"/>
        </w:rPr>
        <w:t>省住房城乡建设厅关于发布江苏省房屋建筑和市政基础设施项目工程总承包计价规则</w:t>
      </w:r>
      <w:r>
        <w:rPr>
          <w:rFonts w:hint="eastAsia" w:ascii="方正黑体简体" w:hAnsi="方正黑体简体" w:eastAsia="方正黑体简体" w:cs="方正黑体简体"/>
        </w:rPr>
        <w:fldChar w:fldCharType="end"/>
      </w:r>
      <w:r>
        <w:rPr>
          <w:rFonts w:hint="eastAsia" w:eastAsia="方正楷体_GBK"/>
        </w:rPr>
        <w:fldChar w:fldCharType="begin"/>
      </w:r>
      <w:r>
        <w:rPr>
          <w:rFonts w:hint="eastAsia" w:eastAsia="方正楷体_GBK"/>
        </w:rPr>
        <w:instrText xml:space="preserve"> HYPERLINK \l _Toc13421 </w:instrText>
      </w:r>
      <w:r>
        <w:rPr>
          <w:rFonts w:hint="eastAsia" w:eastAsia="方正楷体_GBK"/>
        </w:rPr>
        <w:fldChar w:fldCharType="separate"/>
      </w:r>
      <w:r>
        <w:rPr>
          <w:rFonts w:hint="eastAsia" w:ascii="方正黑体简体" w:hAnsi="方正黑体简体" w:eastAsia="方正黑体简体" w:cs="方正黑体简体"/>
        </w:rPr>
        <w:t>（试行）的公告</w:t>
      </w:r>
    </w:p>
    <w:p>
      <w:pPr>
        <w:pStyle w:val="18"/>
        <w:tabs>
          <w:tab w:val="right" w:leader="dot" w:pos="8959"/>
        </w:tabs>
        <w:ind w:left="560" w:firstLine="0" w:firstLineChars="0"/>
        <w:jc w:val="left"/>
        <w:rPr>
          <w:rFonts w:eastAsia="方正楷体_GBK"/>
        </w:rPr>
      </w:pPr>
      <w:r>
        <w:rPr>
          <w:rFonts w:hint="eastAsia" w:eastAsia="方正楷体_GBK"/>
        </w:rPr>
        <w:t>〔2020〕第27号</w:t>
      </w:r>
      <w:r>
        <w:rPr>
          <w:rFonts w:hint="eastAsia" w:eastAsia="方正楷体_GBK"/>
        </w:rPr>
        <w:tab/>
      </w:r>
      <w:r>
        <w:rPr>
          <w:rFonts w:hint="eastAsia" w:eastAsia="方正楷体_GBK"/>
        </w:rPr>
        <w:fldChar w:fldCharType="begin"/>
      </w:r>
      <w:r>
        <w:rPr>
          <w:rFonts w:hint="eastAsia" w:eastAsia="方正楷体_GBK"/>
        </w:rPr>
        <w:instrText xml:space="preserve"> PAGEREF _Toc13421 \h </w:instrText>
      </w:r>
      <w:r>
        <w:rPr>
          <w:rFonts w:hint="eastAsia" w:eastAsia="方正楷体_GBK"/>
        </w:rPr>
        <w:fldChar w:fldCharType="separate"/>
      </w:r>
      <w:r>
        <w:rPr>
          <w:rFonts w:hint="eastAsia" w:eastAsia="方正楷体_GBK"/>
        </w:rPr>
        <w:t>134</w:t>
      </w:r>
      <w:r>
        <w:rPr>
          <w:rFonts w:hint="eastAsia" w:eastAsia="方正楷体_GBK"/>
        </w:rPr>
        <w:fldChar w:fldCharType="end"/>
      </w:r>
      <w:r>
        <w:rPr>
          <w:rFonts w:hint="eastAsia" w:eastAsia="方正楷体_GBK"/>
        </w:rPr>
        <w:fldChar w:fldCharType="end"/>
      </w:r>
    </w:p>
    <w:p>
      <w:pPr>
        <w:pStyle w:val="18"/>
        <w:tabs>
          <w:tab w:val="right" w:leader="dot" w:pos="8959"/>
        </w:tabs>
        <w:ind w:left="560" w:leftChars="0" w:hanging="560" w:hangingChars="200"/>
        <w:jc w:val="left"/>
        <w:rPr>
          <w:rFonts w:ascii="方正黑体简体" w:hAnsi="方正黑体简体" w:eastAsia="方正黑体简体" w:cs="方正黑体简体"/>
          <w:w w:val="96"/>
        </w:rPr>
      </w:pPr>
      <w:r>
        <w:rPr>
          <w:rFonts w:hint="eastAsia" w:ascii="方正黑体简体" w:hAnsi="方正黑体简体" w:eastAsia="方正黑体简体" w:cs="方正黑体简体"/>
        </w:rPr>
        <w:t xml:space="preserve">25. </w:t>
      </w:r>
      <w:r>
        <w:fldChar w:fldCharType="begin"/>
      </w:r>
      <w:r>
        <w:instrText xml:space="preserve"> HYPERLINK \l "_Toc19514" </w:instrText>
      </w:r>
      <w:r>
        <w:fldChar w:fldCharType="separate"/>
      </w:r>
      <w:r>
        <w:rPr>
          <w:rFonts w:hint="eastAsia" w:ascii="方正黑体简体" w:hAnsi="方正黑体简体" w:eastAsia="方正黑体简体" w:cs="方正黑体简体"/>
          <w:w w:val="96"/>
        </w:rPr>
        <w:t>省住房城乡建设厅关于明确城镇老旧小区</w:t>
      </w:r>
      <w:r>
        <w:rPr>
          <w:rFonts w:hint="eastAsia" w:ascii="方正黑体简体" w:hAnsi="方正黑体简体" w:eastAsia="方正黑体简体" w:cs="方正黑体简体"/>
          <w:w w:val="96"/>
        </w:rPr>
        <w:fldChar w:fldCharType="end"/>
      </w:r>
      <w:r>
        <w:rPr>
          <w:rFonts w:hint="eastAsia" w:ascii="方正黑体简体" w:hAnsi="方正黑体简体" w:eastAsia="方正黑体简体" w:cs="方正黑体简体"/>
          <w:w w:val="96"/>
        </w:rPr>
        <w:fldChar w:fldCharType="begin"/>
      </w:r>
      <w:r>
        <w:rPr>
          <w:rFonts w:hint="eastAsia" w:ascii="方正黑体简体" w:hAnsi="方正黑体简体" w:eastAsia="方正黑体简体" w:cs="方正黑体简体"/>
          <w:w w:val="96"/>
        </w:rPr>
        <w:instrText xml:space="preserve"> HYPERLINK \l _Toc22389 </w:instrText>
      </w:r>
      <w:r>
        <w:rPr>
          <w:rFonts w:hint="eastAsia" w:ascii="方正黑体简体" w:hAnsi="方正黑体简体" w:eastAsia="方正黑体简体" w:cs="方正黑体简体"/>
          <w:w w:val="96"/>
        </w:rPr>
        <w:fldChar w:fldCharType="separate"/>
      </w:r>
      <w:r>
        <w:rPr>
          <w:rFonts w:hint="eastAsia" w:ascii="方正黑体简体" w:hAnsi="方正黑体简体" w:eastAsia="方正黑体简体" w:cs="方正黑体简体"/>
          <w:w w:val="96"/>
        </w:rPr>
        <w:t>改造工程计价有关问题的公告</w:t>
      </w:r>
    </w:p>
    <w:p>
      <w:pPr>
        <w:pStyle w:val="18"/>
        <w:tabs>
          <w:tab w:val="right" w:leader="dot" w:pos="8959"/>
        </w:tabs>
        <w:ind w:left="560" w:firstLine="0" w:firstLineChars="0"/>
        <w:jc w:val="left"/>
        <w:rPr>
          <w:rFonts w:ascii="方正黑体简体" w:hAnsi="方正黑体简体" w:eastAsia="方正黑体简体" w:cs="方正黑体简体"/>
        </w:rPr>
      </w:pPr>
      <w:r>
        <w:rPr>
          <w:rFonts w:hint="eastAsia" w:eastAsia="方正楷体_GBK"/>
        </w:rPr>
        <w:t>〔2020〕第224号</w:t>
      </w:r>
      <w:r>
        <w:rPr>
          <w:rFonts w:hint="eastAsia" w:eastAsia="方正楷体_GBK"/>
        </w:rPr>
        <w:tab/>
      </w:r>
      <w:r>
        <w:rPr>
          <w:rFonts w:hint="eastAsia" w:eastAsia="方正楷体_GBK"/>
        </w:rPr>
        <w:fldChar w:fldCharType="begin"/>
      </w:r>
      <w:r>
        <w:rPr>
          <w:rFonts w:hint="eastAsia" w:eastAsia="方正楷体_GBK"/>
        </w:rPr>
        <w:instrText xml:space="preserve"> PAGEREF _Toc22389 \h </w:instrText>
      </w:r>
      <w:r>
        <w:rPr>
          <w:rFonts w:hint="eastAsia" w:eastAsia="方正楷体_GBK"/>
        </w:rPr>
        <w:fldChar w:fldCharType="separate"/>
      </w:r>
      <w:r>
        <w:rPr>
          <w:rFonts w:hint="eastAsia" w:eastAsia="方正楷体_GBK"/>
        </w:rPr>
        <w:t>152</w:t>
      </w:r>
      <w:r>
        <w:rPr>
          <w:rFonts w:hint="eastAsia" w:eastAsia="方正楷体_GBK"/>
        </w:rPr>
        <w:fldChar w:fldCharType="end"/>
      </w:r>
      <w:r>
        <w:rPr>
          <w:rFonts w:hint="eastAsia" w:ascii="方正黑体简体" w:hAnsi="方正黑体简体" w:eastAsia="方正黑体简体" w:cs="方正黑体简体"/>
          <w:w w:val="96"/>
        </w:rPr>
        <w:fldChar w:fldCharType="end"/>
      </w:r>
    </w:p>
    <w:p>
      <w:pPr>
        <w:pStyle w:val="17"/>
        <w:tabs>
          <w:tab w:val="right" w:leader="dot" w:pos="8959"/>
        </w:tabs>
        <w:spacing w:line="54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26</w:t>
      </w:r>
      <w:r>
        <w:rPr>
          <w:rFonts w:hint="eastAsia" w:ascii="方正黑体简体" w:hAnsi="方正黑体简体" w:eastAsia="方正黑体简体" w:cs="方正黑体简体"/>
          <w:kern w:val="0"/>
          <w:szCs w:val="52"/>
        </w:rPr>
        <w:t xml:space="preserve">. </w:t>
      </w:r>
      <w:r>
        <w:fldChar w:fldCharType="begin"/>
      </w:r>
      <w:r>
        <w:instrText xml:space="preserve"> HYPERLINK \l "_Toc14090" </w:instrText>
      </w:r>
      <w:r>
        <w:fldChar w:fldCharType="separate"/>
      </w:r>
      <w:r>
        <w:rPr>
          <w:rFonts w:hint="eastAsia" w:ascii="方正黑体简体" w:hAnsi="方正黑体简体" w:eastAsia="方正黑体简体" w:cs="方正黑体简体"/>
        </w:rPr>
        <w:t>市住房城乡建设局关于加强建设工程</w:t>
      </w:r>
      <w:r>
        <w:rPr>
          <w:rFonts w:hint="eastAsia" w:ascii="方正黑体简体" w:hAnsi="方正黑体简体" w:eastAsia="方正黑体简体" w:cs="方正黑体简体"/>
        </w:rPr>
        <w:fldChar w:fldCharType="end"/>
      </w:r>
      <w:r>
        <w:rPr>
          <w:rFonts w:hint="eastAsia" w:ascii="方正黑体简体" w:hAnsi="方正黑体简体" w:eastAsia="方正黑体简体" w:cs="方正黑体简体"/>
        </w:rPr>
        <w:t>材料价格风险管控的通知</w:t>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"_Toc5116" </w:instrText>
      </w:r>
      <w:r>
        <w:fldChar w:fldCharType="separate"/>
      </w:r>
      <w:r>
        <w:rPr>
          <w:rFonts w:hint="eastAsia" w:eastAsia="方正楷体_GBK"/>
        </w:rPr>
        <w:t>苏住建建〔2021〕23号</w:t>
      </w:r>
      <w:r>
        <w:rPr>
          <w:rFonts w:hint="eastAsia" w:eastAsia="方正楷体_GBK"/>
        </w:rPr>
        <w:tab/>
      </w:r>
      <w:r>
        <w:rPr>
          <w:rFonts w:hint="eastAsia" w:eastAsia="方正楷体_GBK"/>
        </w:rPr>
        <w:fldChar w:fldCharType="begin"/>
      </w:r>
      <w:r>
        <w:rPr>
          <w:rFonts w:hint="eastAsia" w:eastAsia="方正楷体_GBK"/>
        </w:rPr>
        <w:instrText xml:space="preserve"> PAGEREF _Toc5116 \h </w:instrText>
      </w:r>
      <w:r>
        <w:rPr>
          <w:rFonts w:hint="eastAsia" w:eastAsia="方正楷体_GBK"/>
        </w:rPr>
        <w:fldChar w:fldCharType="separate"/>
      </w:r>
      <w:r>
        <w:rPr>
          <w:rFonts w:hint="eastAsia" w:eastAsia="方正楷体_GBK"/>
        </w:rPr>
        <w:t>172</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27</w:t>
      </w:r>
      <w:r>
        <w:rPr>
          <w:rFonts w:hint="eastAsia" w:ascii="方正黑体简体" w:hAnsi="方正黑体简体" w:eastAsia="方正黑体简体" w:cs="方正黑体简体"/>
          <w:kern w:val="0"/>
          <w:szCs w:val="52"/>
        </w:rPr>
        <w:t xml:space="preserve">. </w:t>
      </w:r>
      <w:r>
        <w:fldChar w:fldCharType="begin"/>
      </w:r>
      <w:r>
        <w:instrText xml:space="preserve"> HYPERLINK \l "_Toc20672" </w:instrText>
      </w:r>
      <w:r>
        <w:fldChar w:fldCharType="separate"/>
      </w:r>
      <w:r>
        <w:rPr>
          <w:rFonts w:hint="eastAsia" w:ascii="方正黑体简体" w:hAnsi="方正黑体简体" w:eastAsia="方正黑体简体" w:cs="方正黑体简体"/>
        </w:rPr>
        <w:t>市住房城乡建设局关于进一步优化</w:t>
      </w:r>
      <w:r>
        <w:rPr>
          <w:rFonts w:hint="eastAsia" w:ascii="方正黑体简体" w:hAnsi="方正黑体简体" w:eastAsia="方正黑体简体" w:cs="方正黑体简体"/>
        </w:rPr>
        <w:fldChar w:fldCharType="end"/>
      </w:r>
      <w:r>
        <w:fldChar w:fldCharType="begin"/>
      </w:r>
      <w:r>
        <w:instrText xml:space="preserve"> HYPERLINK \l "_Toc32168" </w:instrText>
      </w:r>
      <w:r>
        <w:fldChar w:fldCharType="separate"/>
      </w:r>
      <w:r>
        <w:rPr>
          <w:rFonts w:hint="eastAsia" w:ascii="方正黑体简体" w:hAnsi="方正黑体简体" w:eastAsia="方正黑体简体" w:cs="方正黑体简体"/>
        </w:rPr>
        <w:t>工程造价咨询服务管理的通知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"_Toc17634" </w:instrText>
      </w:r>
      <w:r>
        <w:fldChar w:fldCharType="separate"/>
      </w:r>
      <w:r>
        <w:rPr>
          <w:rFonts w:hint="eastAsia" w:eastAsia="方正楷体_GBK"/>
        </w:rPr>
        <w:t>苏住建建〔2021〕38号</w:t>
      </w:r>
      <w:r>
        <w:rPr>
          <w:rFonts w:hint="eastAsia" w:eastAsia="方正楷体_GBK"/>
        </w:rPr>
        <w:tab/>
      </w:r>
      <w:r>
        <w:rPr>
          <w:rFonts w:hint="eastAsia" w:eastAsia="方正楷体_GBK"/>
        </w:rPr>
        <w:fldChar w:fldCharType="begin"/>
      </w:r>
      <w:r>
        <w:rPr>
          <w:rFonts w:hint="eastAsia" w:eastAsia="方正楷体_GBK"/>
        </w:rPr>
        <w:instrText xml:space="preserve"> PAGEREF _Toc17634 \h </w:instrText>
      </w:r>
      <w:r>
        <w:rPr>
          <w:rFonts w:hint="eastAsia" w:eastAsia="方正楷体_GBK"/>
        </w:rPr>
        <w:fldChar w:fldCharType="separate"/>
      </w:r>
      <w:r>
        <w:rPr>
          <w:rFonts w:hint="eastAsia" w:eastAsia="方正楷体_GBK"/>
        </w:rPr>
        <w:t>174</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left="538" w:hanging="537" w:hangingChars="192"/>
        <w:jc w:val="left"/>
        <w:rPr>
          <w:rFonts w:ascii="方正黑体简体" w:hAnsi="方正黑体简体" w:eastAsia="方正黑体简体" w:cs="方正黑体简体"/>
        </w:rPr>
      </w:pPr>
      <w:r>
        <w:rPr>
          <w:rFonts w:hint="eastAsia" w:ascii="方正黑体简体" w:hAnsi="方正黑体简体" w:eastAsia="方正黑体简体" w:cs="方正黑体简体"/>
        </w:rPr>
        <w:t>28</w:t>
      </w:r>
      <w:r>
        <w:rPr>
          <w:rFonts w:hint="eastAsia" w:ascii="方正黑体简体" w:hAnsi="方正黑体简体" w:eastAsia="方正黑体简体" w:cs="方正黑体简体"/>
          <w:kern w:val="0"/>
          <w:szCs w:val="52"/>
        </w:rPr>
        <w:t xml:space="preserve">. </w:t>
      </w:r>
      <w:r>
        <w:fldChar w:fldCharType="begin"/>
      </w:r>
      <w:r>
        <w:instrText xml:space="preserve"> HYPERLINK \l "_Toc4926" </w:instrText>
      </w:r>
      <w:r>
        <w:fldChar w:fldCharType="separate"/>
      </w:r>
      <w:r>
        <w:rPr>
          <w:rFonts w:hint="eastAsia" w:ascii="方正黑体简体" w:hAnsi="方正黑体简体" w:eastAsia="方正黑体简体" w:cs="方正黑体简体"/>
        </w:rPr>
        <w:t>市住房城乡建设局关于明确</w:t>
      </w:r>
      <w:r>
        <w:rPr>
          <w:rFonts w:hint="eastAsia" w:ascii="方正黑体简体" w:hAnsi="方正黑体简体" w:eastAsia="方正黑体简体" w:cs="方正黑体简体"/>
        </w:rPr>
        <w:fldChar w:fldCharType="end"/>
      </w:r>
      <w:r>
        <w:fldChar w:fldCharType="begin"/>
      </w:r>
      <w:r>
        <w:instrText xml:space="preserve"> HYPERLINK \l "_Toc3606" </w:instrText>
      </w:r>
      <w:r>
        <w:fldChar w:fldCharType="separate"/>
      </w:r>
      <w:r>
        <w:rPr>
          <w:rFonts w:hint="eastAsia" w:ascii="方正黑体简体" w:hAnsi="方正黑体简体" w:eastAsia="方正黑体简体" w:cs="方正黑体简体"/>
        </w:rPr>
        <w:t>房屋市政工程施工工地围挡品质提升</w:t>
      </w:r>
      <w:r>
        <w:rPr>
          <w:rFonts w:hint="eastAsia" w:ascii="方正黑体简体" w:hAnsi="方正黑体简体" w:eastAsia="方正黑体简体" w:cs="方正黑体简体"/>
        </w:rPr>
        <w:fldChar w:fldCharType="end"/>
      </w:r>
      <w:r>
        <w:fldChar w:fldCharType="begin"/>
      </w:r>
      <w:r>
        <w:instrText xml:space="preserve"> HYPERLINK \l "_Toc13739" </w:instrText>
      </w:r>
      <w:r>
        <w:fldChar w:fldCharType="separate"/>
      </w:r>
      <w:r>
        <w:rPr>
          <w:rFonts w:hint="eastAsia" w:ascii="方正黑体简体" w:hAnsi="方正黑体简体" w:eastAsia="方正黑体简体" w:cs="方正黑体简体"/>
        </w:rPr>
        <w:t>相关费用计取办法的通知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"_Toc29529" </w:instrText>
      </w:r>
      <w:r>
        <w:fldChar w:fldCharType="separate"/>
      </w:r>
      <w:r>
        <w:rPr>
          <w:rFonts w:hint="eastAsia" w:eastAsia="方正楷体_GBK"/>
        </w:rPr>
        <w:t>苏住建建〔2021〕43号</w:t>
      </w:r>
      <w:r>
        <w:rPr>
          <w:rFonts w:hint="eastAsia" w:eastAsia="方正楷体_GBK"/>
        </w:rPr>
        <w:tab/>
      </w:r>
      <w:r>
        <w:rPr>
          <w:rFonts w:hint="eastAsia" w:eastAsia="方正楷体_GBK"/>
        </w:rPr>
        <w:fldChar w:fldCharType="begin"/>
      </w:r>
      <w:r>
        <w:rPr>
          <w:rFonts w:hint="eastAsia" w:eastAsia="方正楷体_GBK"/>
        </w:rPr>
        <w:instrText xml:space="preserve"> PAGEREF _Toc29529 \h </w:instrText>
      </w:r>
      <w:r>
        <w:rPr>
          <w:rFonts w:hint="eastAsia" w:eastAsia="方正楷体_GBK"/>
        </w:rPr>
        <w:fldChar w:fldCharType="separate"/>
      </w:r>
      <w:r>
        <w:rPr>
          <w:rFonts w:hint="eastAsia" w:eastAsia="方正楷体_GBK"/>
        </w:rPr>
        <w:t>176</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left="538" w:hanging="537" w:hangingChars="192"/>
        <w:jc w:val="left"/>
        <w:rPr>
          <w:rFonts w:ascii="方正黑体简体" w:hAnsi="方正黑体简体" w:eastAsia="方正黑体简体" w:cs="方正黑体简体"/>
        </w:rPr>
      </w:pPr>
      <w:r>
        <w:rPr>
          <w:rFonts w:hint="eastAsia" w:ascii="方正黑体简体" w:hAnsi="方正黑体简体" w:eastAsia="方正黑体简体" w:cs="方正黑体简体"/>
        </w:rPr>
        <w:t>29</w:t>
      </w:r>
      <w:r>
        <w:rPr>
          <w:rFonts w:hint="eastAsia" w:ascii="方正黑体简体" w:hAnsi="方正黑体简体" w:eastAsia="方正黑体简体" w:cs="方正黑体简体"/>
          <w:kern w:val="0"/>
          <w:szCs w:val="52"/>
        </w:rPr>
        <w:t xml:space="preserve">. </w:t>
      </w:r>
      <w:r>
        <w:fldChar w:fldCharType="begin"/>
      </w:r>
      <w:r>
        <w:instrText xml:space="preserve"> HYPERLINK \l "_Toc1381" </w:instrText>
      </w:r>
      <w:r>
        <w:fldChar w:fldCharType="separate"/>
      </w:r>
      <w:r>
        <w:rPr>
          <w:rFonts w:hint="eastAsia" w:ascii="方正黑体简体" w:hAnsi="方正黑体简体" w:eastAsia="方正黑体简体" w:cs="方正黑体简体"/>
        </w:rPr>
        <w:t>市住房城乡建设局关于明确建设工程</w:t>
      </w:r>
      <w:r>
        <w:rPr>
          <w:rFonts w:hint="eastAsia" w:ascii="方正黑体简体" w:hAnsi="方正黑体简体" w:eastAsia="方正黑体简体" w:cs="方正黑体简体"/>
        </w:rPr>
        <w:fldChar w:fldCharType="end"/>
      </w:r>
      <w:r>
        <w:fldChar w:fldCharType="begin"/>
      </w:r>
      <w:r>
        <w:instrText xml:space="preserve"> HYPERLINK \l "_Toc14431" </w:instrText>
      </w:r>
      <w:r>
        <w:fldChar w:fldCharType="separate"/>
      </w:r>
      <w:r>
        <w:rPr>
          <w:rFonts w:hint="eastAsia" w:ascii="方正黑体简体" w:hAnsi="方正黑体简体" w:eastAsia="方正黑体简体" w:cs="方正黑体简体"/>
        </w:rPr>
        <w:t>总承包服务费等费用计取要求的通知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"_Toc16259" </w:instrText>
      </w:r>
      <w:r>
        <w:fldChar w:fldCharType="separate"/>
      </w:r>
      <w:r>
        <w:rPr>
          <w:rFonts w:hint="eastAsia" w:eastAsia="方正楷体_GBK"/>
        </w:rPr>
        <w:t>苏住建建〔2021〕59号</w:t>
      </w:r>
      <w:r>
        <w:rPr>
          <w:rFonts w:hint="eastAsia" w:eastAsia="方正楷体_GBK"/>
        </w:rPr>
        <w:tab/>
      </w:r>
      <w:r>
        <w:rPr>
          <w:rFonts w:hint="eastAsia" w:eastAsia="方正楷体_GBK"/>
        </w:rPr>
        <w:fldChar w:fldCharType="begin"/>
      </w:r>
      <w:r>
        <w:rPr>
          <w:rFonts w:hint="eastAsia" w:eastAsia="方正楷体_GBK"/>
        </w:rPr>
        <w:instrText xml:space="preserve"> PAGEREF _Toc16259 \h </w:instrText>
      </w:r>
      <w:r>
        <w:rPr>
          <w:rFonts w:hint="eastAsia" w:eastAsia="方正楷体_GBK"/>
        </w:rPr>
        <w:fldChar w:fldCharType="separate"/>
      </w:r>
      <w:r>
        <w:rPr>
          <w:rFonts w:hint="eastAsia" w:eastAsia="方正楷体_GBK"/>
        </w:rPr>
        <w:t>178</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left="538" w:hanging="537" w:hangingChars="192"/>
        <w:jc w:val="left"/>
      </w:pPr>
      <w:r>
        <w:rPr>
          <w:rFonts w:hint="eastAsia" w:ascii="方正黑体简体" w:hAnsi="方正黑体简体" w:eastAsia="方正黑体简体" w:cs="方正黑体简体"/>
        </w:rPr>
        <w:t>30</w:t>
      </w:r>
      <w:r>
        <w:rPr>
          <w:rFonts w:hint="eastAsia" w:ascii="方正黑体简体" w:hAnsi="方正黑体简体" w:eastAsia="方正黑体简体" w:cs="方正黑体简体"/>
          <w:kern w:val="0"/>
          <w:szCs w:val="52"/>
        </w:rPr>
        <w:t xml:space="preserve">. </w:t>
      </w:r>
      <w:r>
        <w:fldChar w:fldCharType="begin"/>
      </w:r>
      <w:r>
        <w:instrText xml:space="preserve"> HYPERLINK \l "_Toc29852" </w:instrText>
      </w:r>
      <w:r>
        <w:fldChar w:fldCharType="separate"/>
      </w:r>
      <w:r>
        <w:rPr>
          <w:rFonts w:hint="eastAsia" w:ascii="方正黑体简体" w:hAnsi="方正黑体简体" w:eastAsia="方正黑体简体" w:cs="方正黑体简体"/>
        </w:rPr>
        <w:t>关于转发《省住房城乡建设厅关于智慧工地</w:t>
      </w:r>
      <w:r>
        <w:rPr>
          <w:rFonts w:hint="eastAsia" w:ascii="方正黑体简体" w:hAnsi="方正黑体简体" w:eastAsia="方正黑体简体" w:cs="方正黑体简体"/>
        </w:rPr>
        <w:fldChar w:fldCharType="end"/>
      </w:r>
      <w:r>
        <w:fldChar w:fldCharType="begin"/>
      </w:r>
      <w:r>
        <w:instrText xml:space="preserve"> HYPERLINK \l "_Toc20825" </w:instrText>
      </w:r>
      <w:r>
        <w:fldChar w:fldCharType="separate"/>
      </w:r>
      <w:r>
        <w:rPr>
          <w:rFonts w:hint="eastAsia" w:ascii="方正黑体简体" w:hAnsi="方正黑体简体" w:eastAsia="方正黑体简体" w:cs="方正黑体简体"/>
        </w:rPr>
        <w:t>费用计取方法的公告》的通知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"_Toc23756" </w:instrText>
      </w:r>
      <w:r>
        <w:fldChar w:fldCharType="separate"/>
      </w:r>
      <w:r>
        <w:rPr>
          <w:rFonts w:hint="eastAsia" w:eastAsia="方正楷体_GBK"/>
        </w:rPr>
        <w:t>苏建函建〔2021〕208号</w:t>
      </w:r>
      <w:r>
        <w:rPr>
          <w:rFonts w:hint="eastAsia" w:eastAsia="方正楷体_GBK"/>
        </w:rPr>
        <w:tab/>
      </w:r>
      <w:r>
        <w:rPr>
          <w:rFonts w:hint="eastAsia" w:eastAsia="方正楷体_GBK"/>
        </w:rPr>
        <w:fldChar w:fldCharType="begin"/>
      </w:r>
      <w:r>
        <w:rPr>
          <w:rFonts w:hint="eastAsia" w:eastAsia="方正楷体_GBK"/>
        </w:rPr>
        <w:instrText xml:space="preserve"> PAGEREF _Toc23756 \h </w:instrText>
      </w:r>
      <w:r>
        <w:rPr>
          <w:rFonts w:hint="eastAsia" w:eastAsia="方正楷体_GBK"/>
        </w:rPr>
        <w:fldChar w:fldCharType="separate"/>
      </w:r>
      <w:r>
        <w:rPr>
          <w:rFonts w:hint="eastAsia" w:eastAsia="方正楷体_GBK"/>
        </w:rPr>
        <w:t>181</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left="538" w:hanging="537" w:hangingChars="192"/>
        <w:jc w:val="left"/>
        <w:rPr>
          <w:rFonts w:eastAsia="方正楷体_GBK"/>
        </w:rPr>
      </w:pPr>
      <w:r>
        <w:rPr>
          <w:rFonts w:hint="eastAsia" w:ascii="方正黑体简体" w:hAnsi="方正黑体简体" w:eastAsia="方正黑体简体" w:cs="方正黑体简体"/>
        </w:rPr>
        <w:t xml:space="preserve">31. </w:t>
      </w:r>
      <w:r>
        <w:fldChar w:fldCharType="begin"/>
      </w:r>
      <w:r>
        <w:instrText xml:space="preserve"> HYPERLINK \l "_Toc2776" </w:instrText>
      </w:r>
      <w:r>
        <w:fldChar w:fldCharType="separate"/>
      </w:r>
      <w:r>
        <w:rPr>
          <w:rFonts w:hint="eastAsia" w:ascii="方正黑体简体" w:hAnsi="方正黑体简体" w:eastAsia="方正黑体简体" w:cs="方正黑体简体"/>
        </w:rPr>
        <w:t>省住房和城乡建设厅关于印发《江苏省房屋</w:t>
      </w:r>
      <w:r>
        <w:rPr>
          <w:rFonts w:hint="eastAsia" w:ascii="方正黑体简体" w:hAnsi="方正黑体简体" w:eastAsia="方正黑体简体" w:cs="方正黑体简体"/>
        </w:rPr>
        <w:fldChar w:fldCharType="end"/>
      </w:r>
      <w:r>
        <w:fldChar w:fldCharType="begin"/>
      </w:r>
      <w:r>
        <w:instrText xml:space="preserve"> HYPERLINK \l "_Toc32250" </w:instrText>
      </w:r>
      <w:r>
        <w:fldChar w:fldCharType="separate"/>
      </w:r>
      <w:r>
        <w:rPr>
          <w:rFonts w:hint="eastAsia" w:ascii="方正黑体简体" w:hAnsi="方正黑体简体" w:eastAsia="方正黑体简体" w:cs="方正黑体简体"/>
        </w:rPr>
        <w:t>建筑与市政基础设施工程施工过程结算</w:t>
      </w:r>
      <w:r>
        <w:rPr>
          <w:rFonts w:hint="eastAsia" w:ascii="方正黑体简体" w:hAnsi="方正黑体简体" w:eastAsia="方正黑体简体" w:cs="方正黑体简体"/>
        </w:rPr>
        <w:fldChar w:fldCharType="end"/>
      </w:r>
      <w:r>
        <w:rPr>
          <w:rFonts w:hint="eastAsia" w:eastAsia="方正楷体_GBK"/>
        </w:rPr>
        <w:fldChar w:fldCharType="begin"/>
      </w:r>
      <w:r>
        <w:rPr>
          <w:rFonts w:hint="eastAsia" w:eastAsia="方正楷体_GBK"/>
        </w:rPr>
        <w:instrText xml:space="preserve"> HYPERLINK \l _Toc29098 </w:instrText>
      </w:r>
      <w:r>
        <w:rPr>
          <w:rFonts w:hint="eastAsia" w:eastAsia="方正楷体_GBK"/>
        </w:rPr>
        <w:fldChar w:fldCharType="separate"/>
      </w:r>
      <w:r>
        <w:rPr>
          <w:rFonts w:hint="eastAsia" w:ascii="方正黑体简体" w:hAnsi="方正黑体简体" w:eastAsia="方正黑体简体" w:cs="方正黑体简体"/>
        </w:rPr>
        <w:t>实施技术指南（试行）》的公告</w:t>
      </w:r>
    </w:p>
    <w:p>
      <w:pPr>
        <w:pStyle w:val="18"/>
        <w:tabs>
          <w:tab w:val="right" w:leader="dot" w:pos="8959"/>
        </w:tabs>
        <w:spacing w:line="540" w:lineRule="exact"/>
        <w:ind w:left="560" w:firstLine="0" w:firstLineChars="0"/>
        <w:jc w:val="left"/>
        <w:rPr>
          <w:rFonts w:eastAsia="方正楷体_GBK"/>
        </w:rPr>
      </w:pPr>
      <w:r>
        <w:rPr>
          <w:rFonts w:hint="eastAsia" w:eastAsia="方正楷体_GBK"/>
        </w:rPr>
        <w:t>〔2021〕第24号</w:t>
      </w:r>
      <w:r>
        <w:rPr>
          <w:rFonts w:hint="eastAsia" w:eastAsia="方正楷体_GBK"/>
        </w:rPr>
        <w:tab/>
      </w:r>
      <w:r>
        <w:rPr>
          <w:rFonts w:hint="eastAsia" w:eastAsia="方正楷体_GBK"/>
        </w:rPr>
        <w:fldChar w:fldCharType="begin"/>
      </w:r>
      <w:r>
        <w:rPr>
          <w:rFonts w:hint="eastAsia" w:eastAsia="方正楷体_GBK"/>
        </w:rPr>
        <w:instrText xml:space="preserve"> PAGEREF _Toc29098 \h </w:instrText>
      </w:r>
      <w:r>
        <w:rPr>
          <w:rFonts w:hint="eastAsia" w:eastAsia="方正楷体_GBK"/>
        </w:rPr>
        <w:fldChar w:fldCharType="separate"/>
      </w:r>
      <w:r>
        <w:rPr>
          <w:rFonts w:hint="eastAsia" w:eastAsia="方正楷体_GBK"/>
        </w:rPr>
        <w:t>187</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firstLine="0" w:firstLineChars="0"/>
        <w:jc w:val="center"/>
        <w:rPr>
          <w:rFonts w:ascii="方正黑体简体" w:hAnsi="方正黑体简体" w:eastAsia="方正黑体简体" w:cs="方正黑体简体"/>
        </w:rPr>
      </w:pPr>
    </w:p>
    <w:p>
      <w:pPr>
        <w:rPr>
          <w:rFonts w:ascii="方正黑体简体" w:hAnsi="方正黑体简体" w:eastAsia="方正黑体简体" w:cs="方正黑体简体"/>
        </w:rPr>
      </w:pPr>
    </w:p>
    <w:p>
      <w:pPr>
        <w:pStyle w:val="2"/>
        <w:widowControl w:val="0"/>
        <w:numPr>
          <w:ilvl w:val="0"/>
          <w:numId w:val="0"/>
        </w:numPr>
        <w:spacing w:line="520" w:lineRule="exact"/>
        <w:contextualSpacing/>
        <w:jc w:val="both"/>
        <w:rPr>
          <w:rFonts w:ascii="方正黑体简体" w:hAnsi="方正黑体简体" w:eastAsia="方正黑体简体" w:cs="方正黑体简体"/>
        </w:rPr>
      </w:pPr>
    </w:p>
    <w:p>
      <w:pPr>
        <w:pStyle w:val="2"/>
        <w:widowControl w:val="0"/>
        <w:numPr>
          <w:ilvl w:val="0"/>
          <w:numId w:val="0"/>
        </w:numPr>
        <w:spacing w:line="520" w:lineRule="exact"/>
        <w:contextualSpacing/>
        <w:jc w:val="both"/>
        <w:rPr>
          <w:rFonts w:ascii="方正黑体简体" w:hAnsi="方正黑体简体" w:eastAsia="方正黑体简体" w:cs="方正黑体简体"/>
        </w:rPr>
      </w:pPr>
      <w:bookmarkStart w:id="2594" w:name="_GoBack"/>
      <w:bookmarkEnd w:id="2594"/>
    </w:p>
    <w:p>
      <w:pPr>
        <w:pStyle w:val="17"/>
        <w:tabs>
          <w:tab w:val="right" w:leader="dot" w:pos="8959"/>
        </w:tabs>
        <w:spacing w:line="540" w:lineRule="exact"/>
        <w:ind w:firstLine="0" w:firstLineChars="0"/>
        <w:jc w:val="center"/>
        <w:rPr>
          <w:rFonts w:hint="eastAsia" w:ascii="黑体" w:hAnsi="黑体" w:eastAsia="黑体" w:cs="黑体"/>
          <w:sz w:val="44"/>
          <w:szCs w:val="44"/>
        </w:rPr>
      </w:pPr>
      <w:r>
        <w:rPr>
          <w:rFonts w:hint="eastAsia" w:ascii="黑体" w:hAnsi="黑体" w:eastAsia="黑体" w:cs="黑体"/>
          <w:sz w:val="44"/>
          <w:szCs w:val="44"/>
        </w:rPr>
        <w:fldChar w:fldCharType="begin"/>
      </w:r>
      <w:r>
        <w:rPr>
          <w:rFonts w:hint="eastAsia" w:ascii="黑体" w:hAnsi="黑体" w:eastAsia="黑体" w:cs="黑体"/>
          <w:sz w:val="44"/>
          <w:szCs w:val="44"/>
        </w:rPr>
        <w:instrText xml:space="preserve"> HYPERLINK \l "_Toc10421" </w:instrText>
      </w:r>
      <w:r>
        <w:rPr>
          <w:rFonts w:hint="eastAsia" w:ascii="黑体" w:hAnsi="黑体" w:eastAsia="黑体" w:cs="黑体"/>
          <w:sz w:val="44"/>
          <w:szCs w:val="44"/>
        </w:rPr>
        <w:fldChar w:fldCharType="separate"/>
      </w:r>
      <w:r>
        <w:rPr>
          <w:rFonts w:hint="eastAsia" w:ascii="黑体" w:hAnsi="黑体" w:eastAsia="黑体" w:cs="黑体"/>
          <w:sz w:val="44"/>
          <w:szCs w:val="44"/>
        </w:rPr>
        <w:t>二、苏州市工程造价管理处相关文件</w:t>
      </w:r>
      <w:r>
        <w:rPr>
          <w:rFonts w:hint="eastAsia" w:ascii="黑体" w:hAnsi="黑体" w:eastAsia="黑体" w:cs="黑体"/>
          <w:sz w:val="44"/>
          <w:szCs w:val="44"/>
        </w:rPr>
        <w:fldChar w:fldCharType="end"/>
      </w:r>
    </w:p>
    <w:p>
      <w:pPr>
        <w:ind w:firstLine="560"/>
      </w:pPr>
    </w:p>
    <w:p>
      <w:pPr>
        <w:pStyle w:val="17"/>
        <w:tabs>
          <w:tab w:val="right" w:leader="dot" w:pos="8959"/>
        </w:tabs>
        <w:spacing w:line="54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32</w:t>
      </w:r>
      <w:r>
        <w:rPr>
          <w:rFonts w:hint="eastAsia" w:ascii="方正黑体简体" w:hAnsi="方正黑体简体" w:eastAsia="方正黑体简体" w:cs="方正黑体简体"/>
          <w:kern w:val="0"/>
          <w:szCs w:val="52"/>
        </w:rPr>
        <w:t xml:space="preserve">. </w:t>
      </w:r>
      <w:r>
        <w:fldChar w:fldCharType="begin"/>
      </w:r>
      <w:r>
        <w:instrText xml:space="preserve"> HYPERLINK \l "_Toc16662" </w:instrText>
      </w:r>
      <w:r>
        <w:fldChar w:fldCharType="separate"/>
      </w:r>
      <w:r>
        <w:rPr>
          <w:rFonts w:hint="eastAsia" w:ascii="方正黑体简体" w:hAnsi="方正黑体简体" w:eastAsia="方正黑体简体" w:cs="方正黑体简体"/>
        </w:rPr>
        <w:t>关于印发《基坑扩大头锚索补充定额》</w:t>
      </w:r>
      <w:r>
        <w:rPr>
          <w:rFonts w:hint="eastAsia" w:ascii="方正黑体简体" w:hAnsi="方正黑体简体" w:eastAsia="方正黑体简体" w:cs="方正黑体简体"/>
        </w:rPr>
        <w:fldChar w:fldCharType="end"/>
      </w:r>
      <w:r>
        <w:fldChar w:fldCharType="begin"/>
      </w:r>
      <w:r>
        <w:instrText xml:space="preserve"> HYPERLINK \l "_Toc22325" </w:instrText>
      </w:r>
      <w:r>
        <w:fldChar w:fldCharType="separate"/>
      </w:r>
      <w:r>
        <w:rPr>
          <w:rFonts w:hint="eastAsia" w:ascii="方正黑体简体" w:hAnsi="方正黑体简体" w:eastAsia="方正黑体简体" w:cs="方正黑体简体"/>
        </w:rPr>
        <w:t>（试行）的通知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"_Toc23944" </w:instrText>
      </w:r>
      <w:r>
        <w:fldChar w:fldCharType="separate"/>
      </w:r>
      <w:r>
        <w:rPr>
          <w:rFonts w:hint="eastAsia" w:eastAsia="方正楷体_GBK"/>
        </w:rPr>
        <w:t>苏工价〔2010〕10号</w:t>
      </w:r>
      <w:r>
        <w:rPr>
          <w:rFonts w:hint="eastAsia" w:eastAsia="方正楷体_GBK"/>
        </w:rPr>
        <w:tab/>
      </w:r>
      <w:r>
        <w:rPr>
          <w:rFonts w:hint="eastAsia" w:eastAsia="方正楷体_GBK"/>
        </w:rPr>
        <w:fldChar w:fldCharType="begin"/>
      </w:r>
      <w:r>
        <w:rPr>
          <w:rFonts w:hint="eastAsia" w:eastAsia="方正楷体_GBK"/>
        </w:rPr>
        <w:instrText xml:space="preserve"> PAGEREF _Toc23944 \h </w:instrText>
      </w:r>
      <w:r>
        <w:rPr>
          <w:rFonts w:hint="eastAsia" w:eastAsia="方正楷体_GBK"/>
        </w:rPr>
        <w:fldChar w:fldCharType="separate"/>
      </w:r>
      <w:r>
        <w:rPr>
          <w:rFonts w:hint="eastAsia" w:eastAsia="方正楷体_GBK"/>
        </w:rPr>
        <w:t>206</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33</w:t>
      </w:r>
      <w:r>
        <w:rPr>
          <w:rFonts w:hint="eastAsia" w:ascii="方正黑体简体" w:hAnsi="方正黑体简体" w:eastAsia="方正黑体简体" w:cs="方正黑体简体"/>
          <w:kern w:val="0"/>
          <w:szCs w:val="52"/>
        </w:rPr>
        <w:t xml:space="preserve">. </w:t>
      </w:r>
      <w:r>
        <w:fldChar w:fldCharType="begin"/>
      </w:r>
      <w:r>
        <w:instrText xml:space="preserve"> HYPERLINK \l "_Toc9595" </w:instrText>
      </w:r>
      <w:r>
        <w:fldChar w:fldCharType="separate"/>
      </w:r>
      <w:r>
        <w:rPr>
          <w:rFonts w:hint="eastAsia" w:ascii="方正黑体简体" w:hAnsi="方正黑体简体" w:eastAsia="方正黑体简体" w:cs="方正黑体简体"/>
        </w:rPr>
        <w:t>关于明确建设工程计价有关问题的通知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"_Toc15043" </w:instrText>
      </w:r>
      <w:r>
        <w:fldChar w:fldCharType="separate"/>
      </w:r>
      <w:r>
        <w:rPr>
          <w:rFonts w:hint="eastAsia" w:eastAsia="方正楷体_GBK"/>
        </w:rPr>
        <w:t>苏工价〔2010〕11号</w:t>
      </w:r>
      <w:r>
        <w:rPr>
          <w:rFonts w:hint="eastAsia" w:eastAsia="方正楷体_GBK"/>
        </w:rPr>
        <w:tab/>
      </w:r>
      <w:r>
        <w:rPr>
          <w:rFonts w:hint="eastAsia" w:eastAsia="方正楷体_GBK"/>
        </w:rPr>
        <w:fldChar w:fldCharType="begin"/>
      </w:r>
      <w:r>
        <w:rPr>
          <w:rFonts w:hint="eastAsia" w:eastAsia="方正楷体_GBK"/>
        </w:rPr>
        <w:instrText xml:space="preserve"> PAGEREF _Toc15043 \h </w:instrText>
      </w:r>
      <w:r>
        <w:rPr>
          <w:rFonts w:hint="eastAsia" w:eastAsia="方正楷体_GBK"/>
        </w:rPr>
        <w:fldChar w:fldCharType="separate"/>
      </w:r>
      <w:r>
        <w:rPr>
          <w:rFonts w:hint="eastAsia" w:eastAsia="方正楷体_GBK"/>
        </w:rPr>
        <w:t>212</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34</w:t>
      </w:r>
      <w:r>
        <w:rPr>
          <w:rFonts w:hint="eastAsia" w:ascii="方正黑体简体" w:hAnsi="方正黑体简体" w:eastAsia="方正黑体简体" w:cs="方正黑体简体"/>
          <w:kern w:val="0"/>
          <w:szCs w:val="52"/>
        </w:rPr>
        <w:t xml:space="preserve">. </w:t>
      </w:r>
      <w:r>
        <w:fldChar w:fldCharType="begin"/>
      </w:r>
      <w:r>
        <w:instrText xml:space="preserve"> HYPERLINK \l "_Toc24775" </w:instrText>
      </w:r>
      <w:r>
        <w:fldChar w:fldCharType="separate"/>
      </w:r>
      <w:r>
        <w:rPr>
          <w:rFonts w:hint="eastAsia" w:ascii="方正黑体简体" w:hAnsi="方正黑体简体" w:eastAsia="方正黑体简体" w:cs="方正黑体简体"/>
        </w:rPr>
        <w:t>关于明确苏州市建设工程税金费率的通知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"_Toc18945" </w:instrText>
      </w:r>
      <w:r>
        <w:fldChar w:fldCharType="separate"/>
      </w:r>
      <w:r>
        <w:rPr>
          <w:rFonts w:hint="eastAsia" w:eastAsia="方正楷体_GBK"/>
        </w:rPr>
        <w:t>苏工价〔2011〕5号</w:t>
      </w:r>
      <w:r>
        <w:rPr>
          <w:rFonts w:hint="eastAsia" w:eastAsia="方正楷体_GBK"/>
        </w:rPr>
        <w:tab/>
      </w:r>
      <w:r>
        <w:rPr>
          <w:rFonts w:hint="eastAsia" w:eastAsia="方正楷体_GBK"/>
        </w:rPr>
        <w:fldChar w:fldCharType="begin"/>
      </w:r>
      <w:r>
        <w:rPr>
          <w:rFonts w:hint="eastAsia" w:eastAsia="方正楷体_GBK"/>
        </w:rPr>
        <w:instrText xml:space="preserve"> PAGEREF _Toc18945 \h </w:instrText>
      </w:r>
      <w:r>
        <w:rPr>
          <w:rFonts w:hint="eastAsia" w:eastAsia="方正楷体_GBK"/>
        </w:rPr>
        <w:fldChar w:fldCharType="separate"/>
      </w:r>
      <w:r>
        <w:rPr>
          <w:rFonts w:hint="eastAsia" w:eastAsia="方正楷体_GBK"/>
        </w:rPr>
        <w:t>224</w:t>
      </w:r>
      <w:r>
        <w:rPr>
          <w:rFonts w:hint="eastAsia" w:eastAsia="方正楷体_GBK"/>
        </w:rPr>
        <w:fldChar w:fldCharType="end"/>
      </w:r>
      <w:r>
        <w:rPr>
          <w:rFonts w:hint="eastAsia" w:eastAsia="方正楷体_GBK"/>
        </w:rPr>
        <w:fldChar w:fldCharType="end"/>
      </w:r>
    </w:p>
    <w:p>
      <w:pPr>
        <w:pStyle w:val="17"/>
        <w:tabs>
          <w:tab w:val="right" w:leader="dot" w:pos="8959"/>
        </w:tabs>
        <w:spacing w:line="54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35</w:t>
      </w:r>
      <w:r>
        <w:rPr>
          <w:rFonts w:hint="eastAsia" w:ascii="方正黑体简体" w:hAnsi="方正黑体简体" w:eastAsia="方正黑体简体" w:cs="方正黑体简体"/>
          <w:kern w:val="0"/>
          <w:szCs w:val="52"/>
        </w:rPr>
        <w:t xml:space="preserve">. </w:t>
      </w:r>
      <w:r>
        <w:fldChar w:fldCharType="begin"/>
      </w:r>
      <w:r>
        <w:instrText xml:space="preserve"> HYPERLINK \l "_Toc22932" </w:instrText>
      </w:r>
      <w:r>
        <w:fldChar w:fldCharType="separate"/>
      </w:r>
      <w:r>
        <w:rPr>
          <w:rFonts w:hint="eastAsia" w:ascii="方正黑体简体" w:hAnsi="方正黑体简体" w:eastAsia="方正黑体简体" w:cs="方正黑体简体"/>
        </w:rPr>
        <w:t>关于明确建设工程计价有关问题的通知</w:t>
      </w:r>
      <w:r>
        <w:rPr>
          <w:rFonts w:hint="eastAsia" w:ascii="方正黑体简体" w:hAnsi="方正黑体简体" w:eastAsia="方正黑体简体" w:cs="方正黑体简体"/>
        </w:rPr>
        <w:fldChar w:fldCharType="end"/>
      </w:r>
    </w:p>
    <w:p>
      <w:pPr>
        <w:pStyle w:val="18"/>
        <w:tabs>
          <w:tab w:val="right" w:leader="dot" w:pos="8959"/>
        </w:tabs>
        <w:spacing w:line="540" w:lineRule="exact"/>
        <w:ind w:left="560" w:firstLine="0" w:firstLineChars="0"/>
        <w:jc w:val="left"/>
        <w:rPr>
          <w:rFonts w:eastAsia="方正楷体_GBK"/>
        </w:rPr>
      </w:pPr>
      <w:r>
        <w:fldChar w:fldCharType="begin"/>
      </w:r>
      <w:r>
        <w:instrText xml:space="preserve"> HYPERLINK \l "_Toc23939" </w:instrText>
      </w:r>
      <w:r>
        <w:fldChar w:fldCharType="separate"/>
      </w:r>
      <w:r>
        <w:rPr>
          <w:rFonts w:hint="eastAsia" w:eastAsia="方正楷体_GBK"/>
        </w:rPr>
        <w:t>苏工价〔2013〕16号</w:t>
      </w:r>
      <w:r>
        <w:rPr>
          <w:rFonts w:hint="eastAsia" w:eastAsia="方正楷体_GBK"/>
        </w:rPr>
        <w:tab/>
      </w:r>
      <w:r>
        <w:rPr>
          <w:rFonts w:hint="eastAsia" w:eastAsia="方正楷体_GBK"/>
        </w:rPr>
        <w:fldChar w:fldCharType="begin"/>
      </w:r>
      <w:r>
        <w:rPr>
          <w:rFonts w:hint="eastAsia" w:eastAsia="方正楷体_GBK"/>
        </w:rPr>
        <w:instrText xml:space="preserve"> PAGEREF _Toc23939 \h </w:instrText>
      </w:r>
      <w:r>
        <w:rPr>
          <w:rFonts w:hint="eastAsia" w:eastAsia="方正楷体_GBK"/>
        </w:rPr>
        <w:fldChar w:fldCharType="separate"/>
      </w:r>
      <w:r>
        <w:rPr>
          <w:rFonts w:hint="eastAsia" w:eastAsia="方正楷体_GBK"/>
        </w:rPr>
        <w:t>226</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36</w:t>
      </w:r>
      <w:r>
        <w:rPr>
          <w:rFonts w:hint="eastAsia" w:ascii="方正黑体简体" w:hAnsi="方正黑体简体" w:eastAsia="方正黑体简体" w:cs="方正黑体简体"/>
          <w:kern w:val="0"/>
          <w:szCs w:val="52"/>
        </w:rPr>
        <w:t xml:space="preserve">. </w:t>
      </w:r>
      <w:r>
        <w:fldChar w:fldCharType="begin"/>
      </w:r>
      <w:r>
        <w:instrText xml:space="preserve"> HYPERLINK \l "_Toc10289" </w:instrText>
      </w:r>
      <w:r>
        <w:fldChar w:fldCharType="separate"/>
      </w:r>
      <w:r>
        <w:rPr>
          <w:rFonts w:hint="eastAsia" w:ascii="方正黑体简体" w:hAnsi="方正黑体简体" w:eastAsia="方正黑体简体" w:cs="方正黑体简体"/>
        </w:rPr>
        <w:t>关于执行《江苏省城市轨道交通工程计价表》有关问题的通知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"_Toc13948" </w:instrText>
      </w:r>
      <w:r>
        <w:fldChar w:fldCharType="separate"/>
      </w:r>
      <w:r>
        <w:rPr>
          <w:rFonts w:hint="eastAsia" w:eastAsia="方正楷体_GBK"/>
        </w:rPr>
        <w:t>苏工价〔2013〕19号</w:t>
      </w:r>
      <w:r>
        <w:rPr>
          <w:rFonts w:hint="eastAsia" w:eastAsia="方正楷体_GBK"/>
        </w:rPr>
        <w:tab/>
      </w:r>
      <w:r>
        <w:rPr>
          <w:rFonts w:hint="eastAsia" w:eastAsia="方正楷体_GBK"/>
        </w:rPr>
        <w:fldChar w:fldCharType="begin"/>
      </w:r>
      <w:r>
        <w:rPr>
          <w:rFonts w:hint="eastAsia" w:eastAsia="方正楷体_GBK"/>
        </w:rPr>
        <w:instrText xml:space="preserve"> PAGEREF _Toc13948 \h </w:instrText>
      </w:r>
      <w:r>
        <w:rPr>
          <w:rFonts w:hint="eastAsia" w:eastAsia="方正楷体_GBK"/>
        </w:rPr>
        <w:fldChar w:fldCharType="separate"/>
      </w:r>
      <w:r>
        <w:rPr>
          <w:rFonts w:hint="eastAsia" w:eastAsia="方正楷体_GBK"/>
        </w:rPr>
        <w:t>230</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37</w:t>
      </w:r>
      <w:r>
        <w:rPr>
          <w:rFonts w:hint="eastAsia" w:ascii="方正黑体简体" w:hAnsi="方正黑体简体" w:eastAsia="方正黑体简体" w:cs="方正黑体简体"/>
          <w:kern w:val="0"/>
          <w:szCs w:val="52"/>
        </w:rPr>
        <w:t xml:space="preserve">. </w:t>
      </w:r>
      <w:r>
        <w:fldChar w:fldCharType="begin"/>
      </w:r>
      <w:r>
        <w:instrText xml:space="preserve"> HYPERLINK \l "_Toc11245" </w:instrText>
      </w:r>
      <w:r>
        <w:fldChar w:fldCharType="separate"/>
      </w:r>
      <w:r>
        <w:rPr>
          <w:rFonts w:hint="eastAsia" w:ascii="方正黑体简体" w:hAnsi="方正黑体简体" w:eastAsia="方正黑体简体" w:cs="方正黑体简体"/>
        </w:rPr>
        <w:t>关于印发《苏州市建设工程计价解释与争议调解实施细则》的通知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"_Toc27266" </w:instrText>
      </w:r>
      <w:r>
        <w:fldChar w:fldCharType="separate"/>
      </w:r>
      <w:r>
        <w:rPr>
          <w:rFonts w:hint="eastAsia" w:eastAsia="方正楷体_GBK"/>
        </w:rPr>
        <w:t>苏工价〔2014〕14号</w:t>
      </w:r>
      <w:r>
        <w:rPr>
          <w:rFonts w:hint="eastAsia" w:eastAsia="方正楷体_GBK"/>
        </w:rPr>
        <w:tab/>
      </w:r>
      <w:r>
        <w:rPr>
          <w:rFonts w:hint="eastAsia" w:eastAsia="方正楷体_GBK"/>
        </w:rPr>
        <w:fldChar w:fldCharType="begin"/>
      </w:r>
      <w:r>
        <w:rPr>
          <w:rFonts w:hint="eastAsia" w:eastAsia="方正楷体_GBK"/>
        </w:rPr>
        <w:instrText xml:space="preserve"> PAGEREF _Toc27266 \h </w:instrText>
      </w:r>
      <w:r>
        <w:rPr>
          <w:rFonts w:hint="eastAsia" w:eastAsia="方正楷体_GBK"/>
        </w:rPr>
        <w:fldChar w:fldCharType="separate"/>
      </w:r>
      <w:r>
        <w:rPr>
          <w:rFonts w:hint="eastAsia" w:eastAsia="方正楷体_GBK"/>
        </w:rPr>
        <w:t>232</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left="538" w:hanging="537" w:hangingChars="192"/>
        <w:jc w:val="left"/>
        <w:rPr>
          <w:rFonts w:ascii="方正黑体简体" w:hAnsi="方正黑体简体" w:eastAsia="方正黑体简体" w:cs="方正黑体简体"/>
        </w:rPr>
      </w:pPr>
      <w:r>
        <w:rPr>
          <w:rFonts w:hint="eastAsia" w:ascii="方正黑体简体" w:hAnsi="方正黑体简体" w:eastAsia="方正黑体简体" w:cs="方正黑体简体"/>
        </w:rPr>
        <w:t>38</w:t>
      </w:r>
      <w:r>
        <w:rPr>
          <w:rFonts w:hint="eastAsia" w:ascii="方正黑体简体" w:hAnsi="方正黑体简体" w:eastAsia="方正黑体简体" w:cs="方正黑体简体"/>
          <w:kern w:val="0"/>
          <w:szCs w:val="52"/>
        </w:rPr>
        <w:t xml:space="preserve">. </w:t>
      </w:r>
      <w:r>
        <w:fldChar w:fldCharType="begin"/>
      </w:r>
      <w:r>
        <w:instrText xml:space="preserve"> HYPERLINK \l "_Toc5858" </w:instrText>
      </w:r>
      <w:r>
        <w:fldChar w:fldCharType="separate"/>
      </w:r>
      <w:r>
        <w:rPr>
          <w:rFonts w:hint="eastAsia" w:ascii="方正黑体简体" w:hAnsi="方正黑体简体" w:eastAsia="方正黑体简体" w:cs="方正黑体简体"/>
        </w:rPr>
        <w:t>关于转发《关于发布江苏省建筑与装饰、安装、市政计价定额（2014版）中调整和增加机械的台班单价组成的通知》的通知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"_Toc9031" </w:instrText>
      </w:r>
      <w:r>
        <w:fldChar w:fldCharType="separate"/>
      </w:r>
      <w:r>
        <w:rPr>
          <w:rFonts w:hint="eastAsia" w:eastAsia="方正楷体_GBK"/>
        </w:rPr>
        <w:t> 苏工价〔2015〕6号</w:t>
      </w:r>
      <w:r>
        <w:rPr>
          <w:rFonts w:hint="eastAsia" w:eastAsia="方正楷体_GBK"/>
        </w:rPr>
        <w:tab/>
      </w:r>
      <w:r>
        <w:rPr>
          <w:rFonts w:hint="eastAsia" w:eastAsia="方正楷体_GBK"/>
        </w:rPr>
        <w:fldChar w:fldCharType="begin"/>
      </w:r>
      <w:r>
        <w:rPr>
          <w:rFonts w:hint="eastAsia" w:eastAsia="方正楷体_GBK"/>
        </w:rPr>
        <w:instrText xml:space="preserve"> PAGEREF _Toc9031 \h </w:instrText>
      </w:r>
      <w:r>
        <w:rPr>
          <w:rFonts w:hint="eastAsia" w:eastAsia="方正楷体_GBK"/>
        </w:rPr>
        <w:fldChar w:fldCharType="separate"/>
      </w:r>
      <w:r>
        <w:rPr>
          <w:rFonts w:hint="eastAsia" w:eastAsia="方正楷体_GBK"/>
        </w:rPr>
        <w:t>239</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left="538" w:hanging="537" w:hangingChars="192"/>
        <w:jc w:val="left"/>
        <w:rPr>
          <w:rFonts w:ascii="方正黑体简体" w:hAnsi="方正黑体简体" w:eastAsia="方正黑体简体" w:cs="方正黑体简体"/>
        </w:rPr>
      </w:pPr>
      <w:r>
        <w:rPr>
          <w:rFonts w:hint="eastAsia" w:ascii="方正黑体简体" w:hAnsi="方正黑体简体" w:eastAsia="方正黑体简体" w:cs="方正黑体简体"/>
        </w:rPr>
        <w:t>39</w:t>
      </w:r>
      <w:r>
        <w:rPr>
          <w:rFonts w:hint="eastAsia" w:ascii="方正黑体简体" w:hAnsi="方正黑体简体" w:eastAsia="方正黑体简体" w:cs="方正黑体简体"/>
          <w:kern w:val="0"/>
          <w:szCs w:val="52"/>
        </w:rPr>
        <w:t xml:space="preserve">. </w:t>
      </w:r>
      <w:r>
        <w:fldChar w:fldCharType="begin"/>
      </w:r>
      <w:r>
        <w:instrText xml:space="preserve"> HYPERLINK \l "_Toc5158" </w:instrText>
      </w:r>
      <w:r>
        <w:fldChar w:fldCharType="separate"/>
      </w:r>
      <w:r>
        <w:rPr>
          <w:rFonts w:hint="eastAsia" w:ascii="方正黑体简体" w:hAnsi="方正黑体简体" w:eastAsia="方正黑体简体" w:cs="方正黑体简体"/>
        </w:rPr>
        <w:t>关于合理调整因实施《苏州建筑工地管理质量提升行动专项治理方案》而停工的工程施工工期的通知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"_Toc12282" </w:instrText>
      </w:r>
      <w:r>
        <w:fldChar w:fldCharType="separate"/>
      </w:r>
      <w:r>
        <w:rPr>
          <w:rFonts w:hint="eastAsia" w:eastAsia="方正楷体_GBK"/>
        </w:rPr>
        <w:t>苏工价〔2015〕14号</w:t>
      </w:r>
      <w:r>
        <w:rPr>
          <w:rFonts w:hint="eastAsia" w:eastAsia="方正楷体_GBK"/>
        </w:rPr>
        <w:tab/>
      </w:r>
      <w:r>
        <w:rPr>
          <w:rFonts w:hint="eastAsia" w:eastAsia="方正楷体_GBK"/>
        </w:rPr>
        <w:fldChar w:fldCharType="begin"/>
      </w:r>
      <w:r>
        <w:rPr>
          <w:rFonts w:hint="eastAsia" w:eastAsia="方正楷体_GBK"/>
        </w:rPr>
        <w:instrText xml:space="preserve"> PAGEREF _Toc12282 \h </w:instrText>
      </w:r>
      <w:r>
        <w:rPr>
          <w:rFonts w:hint="eastAsia" w:eastAsia="方正楷体_GBK"/>
        </w:rPr>
        <w:fldChar w:fldCharType="separate"/>
      </w:r>
      <w:r>
        <w:rPr>
          <w:rFonts w:hint="eastAsia" w:eastAsia="方正楷体_GBK"/>
        </w:rPr>
        <w:t>252</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40</w:t>
      </w:r>
      <w:r>
        <w:rPr>
          <w:rFonts w:hint="eastAsia" w:ascii="方正黑体简体" w:hAnsi="方正黑体简体" w:eastAsia="方正黑体简体" w:cs="方正黑体简体"/>
          <w:kern w:val="0"/>
          <w:szCs w:val="52"/>
        </w:rPr>
        <w:t xml:space="preserve">. </w:t>
      </w:r>
      <w:r>
        <w:fldChar w:fldCharType="begin"/>
      </w:r>
      <w:r>
        <w:instrText xml:space="preserve"> HYPERLINK \l "_Toc392" </w:instrText>
      </w:r>
      <w:r>
        <w:fldChar w:fldCharType="separate"/>
      </w:r>
      <w:r>
        <w:rPr>
          <w:rFonts w:hint="eastAsia" w:ascii="方正黑体简体" w:hAnsi="方正黑体简体" w:eastAsia="方正黑体简体" w:cs="方正黑体简体"/>
        </w:rPr>
        <w:t>关于调整苏州市预拌混凝土和预拌砂浆指导价发布水平的通知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"_Toc30644" </w:instrText>
      </w:r>
      <w:r>
        <w:fldChar w:fldCharType="separate"/>
      </w:r>
      <w:r>
        <w:rPr>
          <w:rFonts w:hint="eastAsia" w:eastAsia="方正楷体_GBK"/>
        </w:rPr>
        <w:t>苏工价〔2017〕6号</w:t>
      </w:r>
      <w:r>
        <w:rPr>
          <w:rFonts w:hint="eastAsia" w:eastAsia="方正楷体_GBK"/>
        </w:rPr>
        <w:tab/>
      </w:r>
      <w:r>
        <w:rPr>
          <w:rFonts w:hint="eastAsia" w:eastAsia="方正楷体_GBK"/>
        </w:rPr>
        <w:fldChar w:fldCharType="begin"/>
      </w:r>
      <w:r>
        <w:rPr>
          <w:rFonts w:hint="eastAsia" w:eastAsia="方正楷体_GBK"/>
        </w:rPr>
        <w:instrText xml:space="preserve"> PAGEREF _Toc30644 \h </w:instrText>
      </w:r>
      <w:r>
        <w:rPr>
          <w:rFonts w:hint="eastAsia" w:eastAsia="方正楷体_GBK"/>
        </w:rPr>
        <w:fldChar w:fldCharType="separate"/>
      </w:r>
      <w:r>
        <w:rPr>
          <w:rFonts w:hint="eastAsia" w:eastAsia="方正楷体_GBK"/>
        </w:rPr>
        <w:t>253</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41</w:t>
      </w:r>
      <w:r>
        <w:rPr>
          <w:rFonts w:hint="eastAsia" w:ascii="方正黑体简体" w:hAnsi="方正黑体简体" w:eastAsia="方正黑体简体" w:cs="方正黑体简体"/>
          <w:kern w:val="0"/>
          <w:szCs w:val="52"/>
        </w:rPr>
        <w:t xml:space="preserve">. </w:t>
      </w:r>
      <w:r>
        <w:fldChar w:fldCharType="begin"/>
      </w:r>
      <w:r>
        <w:instrText xml:space="preserve"> HYPERLINK \l "_Toc16906" </w:instrText>
      </w:r>
      <w:r>
        <w:fldChar w:fldCharType="separate"/>
      </w:r>
      <w:r>
        <w:rPr>
          <w:rFonts w:hint="eastAsia" w:ascii="方正黑体简体" w:hAnsi="方正黑体简体" w:eastAsia="方正黑体简体" w:cs="方正黑体简体"/>
        </w:rPr>
        <w:t>关于进一步明确我市人工工资指导价价差调整有关问题的通知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"_Toc9299" </w:instrText>
      </w:r>
      <w:r>
        <w:fldChar w:fldCharType="separate"/>
      </w:r>
      <w:r>
        <w:rPr>
          <w:rFonts w:hint="eastAsia" w:eastAsia="方正楷体_GBK"/>
        </w:rPr>
        <w:t>苏工价〔2017〕8号</w:t>
      </w:r>
      <w:r>
        <w:rPr>
          <w:rFonts w:hint="eastAsia" w:eastAsia="方正楷体_GBK"/>
        </w:rPr>
        <w:tab/>
      </w:r>
      <w:r>
        <w:rPr>
          <w:rFonts w:hint="eastAsia" w:eastAsia="方正楷体_GBK"/>
        </w:rPr>
        <w:fldChar w:fldCharType="begin"/>
      </w:r>
      <w:r>
        <w:rPr>
          <w:rFonts w:hint="eastAsia" w:eastAsia="方正楷体_GBK"/>
        </w:rPr>
        <w:instrText xml:space="preserve"> PAGEREF _Toc9299 \h </w:instrText>
      </w:r>
      <w:r>
        <w:rPr>
          <w:rFonts w:hint="eastAsia" w:eastAsia="方正楷体_GBK"/>
        </w:rPr>
        <w:fldChar w:fldCharType="separate"/>
      </w:r>
      <w:r>
        <w:rPr>
          <w:rFonts w:hint="eastAsia" w:eastAsia="方正楷体_GBK"/>
        </w:rPr>
        <w:t>255</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42</w:t>
      </w:r>
      <w:r>
        <w:rPr>
          <w:rFonts w:hint="eastAsia" w:ascii="方正黑体简体" w:hAnsi="方正黑体简体" w:eastAsia="方正黑体简体" w:cs="方正黑体简体"/>
          <w:kern w:val="0"/>
          <w:szCs w:val="52"/>
        </w:rPr>
        <w:t xml:space="preserve">. </w:t>
      </w:r>
      <w:r>
        <w:fldChar w:fldCharType="begin"/>
      </w:r>
      <w:r>
        <w:instrText xml:space="preserve"> HYPERLINK \l "_Toc6081" </w:instrText>
      </w:r>
      <w:r>
        <w:fldChar w:fldCharType="separate"/>
      </w:r>
      <w:r>
        <w:rPr>
          <w:rFonts w:hint="eastAsia" w:ascii="方正黑体简体" w:hAnsi="方正黑体简体" w:eastAsia="方正黑体简体" w:cs="方正黑体简体"/>
        </w:rPr>
        <w:t>关于今年高温天气如何调整施工工期的</w:t>
      </w:r>
      <w:r>
        <w:rPr>
          <w:rFonts w:hint="eastAsia" w:ascii="方正黑体简体" w:hAnsi="方正黑体简体" w:eastAsia="方正黑体简体" w:cs="方正黑体简体"/>
        </w:rPr>
        <w:fldChar w:fldCharType="end"/>
      </w:r>
      <w:r>
        <w:fldChar w:fldCharType="begin"/>
      </w:r>
      <w:r>
        <w:instrText xml:space="preserve"> HYPERLINK \l "_Toc8483" </w:instrText>
      </w:r>
      <w:r>
        <w:fldChar w:fldCharType="separate"/>
      </w:r>
      <w:r>
        <w:rPr>
          <w:rFonts w:hint="eastAsia" w:ascii="方正黑体简体" w:hAnsi="方正黑体简体" w:eastAsia="方正黑体简体" w:cs="方正黑体简体"/>
        </w:rPr>
        <w:t>指导意见</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"_Toc24915" </w:instrText>
      </w:r>
      <w:r>
        <w:fldChar w:fldCharType="separate"/>
      </w:r>
      <w:r>
        <w:rPr>
          <w:rFonts w:hint="eastAsia" w:eastAsia="方正楷体_GBK"/>
        </w:rPr>
        <w:t>苏工价〔2017〕9号</w:t>
      </w:r>
      <w:r>
        <w:rPr>
          <w:rFonts w:hint="eastAsia" w:eastAsia="方正楷体_GBK"/>
        </w:rPr>
        <w:tab/>
      </w:r>
      <w:r>
        <w:rPr>
          <w:rFonts w:hint="eastAsia" w:eastAsia="方正楷体_GBK"/>
        </w:rPr>
        <w:fldChar w:fldCharType="begin"/>
      </w:r>
      <w:r>
        <w:rPr>
          <w:rFonts w:hint="eastAsia" w:eastAsia="方正楷体_GBK"/>
        </w:rPr>
        <w:instrText xml:space="preserve"> PAGEREF _Toc24915 \h </w:instrText>
      </w:r>
      <w:r>
        <w:rPr>
          <w:rFonts w:hint="eastAsia" w:eastAsia="方正楷体_GBK"/>
        </w:rPr>
        <w:fldChar w:fldCharType="separate"/>
      </w:r>
      <w:r>
        <w:rPr>
          <w:rFonts w:hint="eastAsia" w:eastAsia="方正楷体_GBK"/>
        </w:rPr>
        <w:t>257</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43</w:t>
      </w:r>
      <w:r>
        <w:rPr>
          <w:rFonts w:hint="eastAsia" w:ascii="方正黑体简体" w:hAnsi="方正黑体简体" w:eastAsia="方正黑体简体" w:cs="方正黑体简体"/>
          <w:kern w:val="0"/>
          <w:szCs w:val="52"/>
        </w:rPr>
        <w:t xml:space="preserve">. </w:t>
      </w:r>
      <w:r>
        <w:fldChar w:fldCharType="begin"/>
      </w:r>
      <w:r>
        <w:instrText xml:space="preserve"> HYPERLINK \l "_Toc30741" </w:instrText>
      </w:r>
      <w:r>
        <w:fldChar w:fldCharType="separate"/>
      </w:r>
      <w:r>
        <w:rPr>
          <w:rFonts w:hint="eastAsia" w:ascii="方正黑体简体" w:hAnsi="方正黑体简体" w:eastAsia="方正黑体简体" w:cs="方正黑体简体"/>
        </w:rPr>
        <w:t>关于认真贯彻落实《苏州市建设工程</w:t>
      </w:r>
      <w:r>
        <w:rPr>
          <w:rFonts w:hint="eastAsia" w:ascii="方正黑体简体" w:hAnsi="方正黑体简体" w:eastAsia="方正黑体简体" w:cs="方正黑体简体"/>
        </w:rPr>
        <w:fldChar w:fldCharType="end"/>
      </w:r>
      <w:r>
        <w:fldChar w:fldCharType="begin"/>
      </w:r>
      <w:r>
        <w:instrText xml:space="preserve"> HYPERLINK \l "_Toc9362" </w:instrText>
      </w:r>
      <w:r>
        <w:fldChar w:fldCharType="separate"/>
      </w:r>
      <w:r>
        <w:rPr>
          <w:rFonts w:hint="eastAsia" w:ascii="方正黑体简体" w:hAnsi="方正黑体简体" w:eastAsia="方正黑体简体" w:cs="方正黑体简体"/>
        </w:rPr>
        <w:t>价格信息员管理办法》的通知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"_Toc14054" </w:instrText>
      </w:r>
      <w:r>
        <w:fldChar w:fldCharType="separate"/>
      </w:r>
      <w:r>
        <w:rPr>
          <w:rFonts w:hint="eastAsia" w:eastAsia="方正楷体_GBK"/>
        </w:rPr>
        <w:t>苏工价〔2018〕14号</w:t>
      </w:r>
      <w:r>
        <w:rPr>
          <w:rFonts w:hint="eastAsia" w:eastAsia="方正楷体_GBK"/>
        </w:rPr>
        <w:tab/>
      </w:r>
      <w:r>
        <w:rPr>
          <w:rFonts w:hint="eastAsia" w:eastAsia="方正楷体_GBK"/>
        </w:rPr>
        <w:fldChar w:fldCharType="begin"/>
      </w:r>
      <w:r>
        <w:rPr>
          <w:rFonts w:hint="eastAsia" w:eastAsia="方正楷体_GBK"/>
        </w:rPr>
        <w:instrText xml:space="preserve"> PAGEREF _Toc14054 \h </w:instrText>
      </w:r>
      <w:r>
        <w:rPr>
          <w:rFonts w:hint="eastAsia" w:eastAsia="方正楷体_GBK"/>
        </w:rPr>
        <w:fldChar w:fldCharType="separate"/>
      </w:r>
      <w:r>
        <w:rPr>
          <w:rFonts w:hint="eastAsia" w:eastAsia="方正楷体_GBK"/>
        </w:rPr>
        <w:t>258</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44</w:t>
      </w:r>
      <w:r>
        <w:rPr>
          <w:rFonts w:hint="eastAsia" w:ascii="方正黑体简体" w:hAnsi="方正黑体简体" w:eastAsia="方正黑体简体" w:cs="方正黑体简体"/>
          <w:kern w:val="0"/>
          <w:szCs w:val="52"/>
        </w:rPr>
        <w:t xml:space="preserve">. </w:t>
      </w:r>
      <w:r>
        <w:fldChar w:fldCharType="begin"/>
      </w:r>
      <w:r>
        <w:instrText xml:space="preserve"> HYPERLINK \l "_Toc30768" </w:instrText>
      </w:r>
      <w:r>
        <w:fldChar w:fldCharType="separate"/>
      </w:r>
      <w:r>
        <w:rPr>
          <w:rFonts w:hint="eastAsia" w:ascii="方正黑体简体" w:hAnsi="方正黑体简体" w:eastAsia="方正黑体简体" w:cs="方正黑体简体"/>
        </w:rPr>
        <w:t>关于开展我市造价师“挂证”等违法违规行为自查自纠的通知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"_Toc30558" </w:instrText>
      </w:r>
      <w:r>
        <w:fldChar w:fldCharType="separate"/>
      </w:r>
      <w:r>
        <w:rPr>
          <w:rFonts w:hint="eastAsia" w:eastAsia="方正楷体_GBK"/>
        </w:rPr>
        <w:t>苏工价〔2019〕2号</w:t>
      </w:r>
      <w:r>
        <w:rPr>
          <w:rFonts w:hint="eastAsia" w:eastAsia="方正楷体_GBK"/>
        </w:rPr>
        <w:tab/>
      </w:r>
      <w:r>
        <w:rPr>
          <w:rFonts w:hint="eastAsia" w:eastAsia="方正楷体_GBK"/>
        </w:rPr>
        <w:fldChar w:fldCharType="begin"/>
      </w:r>
      <w:r>
        <w:rPr>
          <w:rFonts w:hint="eastAsia" w:eastAsia="方正楷体_GBK"/>
        </w:rPr>
        <w:instrText xml:space="preserve"> PAGEREF _Toc30558 \h </w:instrText>
      </w:r>
      <w:r>
        <w:rPr>
          <w:rFonts w:hint="eastAsia" w:eastAsia="方正楷体_GBK"/>
        </w:rPr>
        <w:fldChar w:fldCharType="separate"/>
      </w:r>
      <w:r>
        <w:rPr>
          <w:rFonts w:hint="eastAsia" w:eastAsia="方正楷体_GBK"/>
        </w:rPr>
        <w:t>263</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45</w:t>
      </w:r>
      <w:r>
        <w:rPr>
          <w:rFonts w:hint="eastAsia" w:ascii="方正黑体简体" w:hAnsi="方正黑体简体" w:eastAsia="方正黑体简体" w:cs="方正黑体简体"/>
          <w:kern w:val="0"/>
          <w:szCs w:val="52"/>
        </w:rPr>
        <w:t xml:space="preserve">. </w:t>
      </w:r>
      <w:r>
        <w:fldChar w:fldCharType="begin"/>
      </w:r>
      <w:r>
        <w:instrText xml:space="preserve"> HYPERLINK \l "_Toc24794" </w:instrText>
      </w:r>
      <w:r>
        <w:fldChar w:fldCharType="separate"/>
      </w:r>
      <w:r>
        <w:rPr>
          <w:rFonts w:hint="eastAsia" w:ascii="方正黑体简体" w:hAnsi="方正黑体简体" w:eastAsia="方正黑体简体" w:cs="方正黑体简体"/>
        </w:rPr>
        <w:t>关于明确建设工程环境保护税计价问题的通知</w:t>
      </w:r>
      <w:r>
        <w:rPr>
          <w:rFonts w:hint="eastAsia" w:ascii="方正黑体简体" w:hAnsi="方正黑体简体" w:eastAsia="方正黑体简体" w:cs="方正黑体简体"/>
        </w:rPr>
        <w:fldChar w:fldCharType="end"/>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"_Toc10956" </w:instrText>
      </w:r>
      <w:r>
        <w:fldChar w:fldCharType="separate"/>
      </w:r>
      <w:r>
        <w:rPr>
          <w:rFonts w:hint="eastAsia" w:eastAsia="方正楷体_GBK"/>
        </w:rPr>
        <w:t>苏工价〔2019〕5号</w:t>
      </w:r>
      <w:r>
        <w:rPr>
          <w:rFonts w:hint="eastAsia" w:eastAsia="方正楷体_GBK"/>
        </w:rPr>
        <w:tab/>
      </w:r>
      <w:r>
        <w:rPr>
          <w:rFonts w:hint="eastAsia" w:eastAsia="方正楷体_GBK"/>
        </w:rPr>
        <w:fldChar w:fldCharType="begin"/>
      </w:r>
      <w:r>
        <w:rPr>
          <w:rFonts w:hint="eastAsia" w:eastAsia="方正楷体_GBK"/>
        </w:rPr>
        <w:instrText xml:space="preserve"> PAGEREF _Toc10956 \h </w:instrText>
      </w:r>
      <w:r>
        <w:rPr>
          <w:rFonts w:hint="eastAsia" w:eastAsia="方正楷体_GBK"/>
        </w:rPr>
        <w:fldChar w:fldCharType="separate"/>
      </w:r>
      <w:r>
        <w:rPr>
          <w:rFonts w:hint="eastAsia" w:eastAsia="方正楷体_GBK"/>
        </w:rPr>
        <w:t>266</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46</w:t>
      </w:r>
      <w:r>
        <w:rPr>
          <w:rFonts w:hint="eastAsia" w:ascii="方正黑体简体" w:hAnsi="方正黑体简体" w:eastAsia="方正黑体简体" w:cs="方正黑体简体"/>
          <w:kern w:val="0"/>
          <w:szCs w:val="52"/>
        </w:rPr>
        <w:t xml:space="preserve">. </w:t>
      </w:r>
      <w:r>
        <w:rPr>
          <w:rFonts w:hint="eastAsia" w:ascii="方正黑体简体" w:hAnsi="方正黑体简体" w:eastAsia="方正黑体简体" w:cs="方正黑体简体"/>
        </w:rPr>
        <w:t>苏州市绿化苗木信息价采集发布和使用说明</w:t>
      </w:r>
    </w:p>
    <w:p>
      <w:pPr>
        <w:pStyle w:val="18"/>
        <w:tabs>
          <w:tab w:val="right" w:leader="dot" w:pos="8959"/>
        </w:tabs>
        <w:spacing w:line="560" w:lineRule="exact"/>
        <w:ind w:left="560" w:firstLine="0" w:firstLineChars="0"/>
        <w:jc w:val="left"/>
        <w:rPr>
          <w:rFonts w:eastAsia="方正楷体_GBK"/>
        </w:rPr>
      </w:pPr>
      <w:r>
        <w:fldChar w:fldCharType="begin"/>
      </w:r>
      <w:r>
        <w:instrText xml:space="preserve"> HYPERLINK \l "_Toc27249" </w:instrText>
      </w:r>
      <w:r>
        <w:fldChar w:fldCharType="separate"/>
      </w:r>
      <w:r>
        <w:rPr>
          <w:rFonts w:hint="eastAsia" w:eastAsia="方正楷体_GBK"/>
        </w:rPr>
        <w:t>苏工价〔2019〕6号</w:t>
      </w:r>
      <w:r>
        <w:rPr>
          <w:rFonts w:hint="eastAsia" w:eastAsia="方正楷体_GBK"/>
        </w:rPr>
        <w:tab/>
      </w:r>
      <w:r>
        <w:rPr>
          <w:rFonts w:hint="eastAsia" w:eastAsia="方正楷体_GBK"/>
        </w:rPr>
        <w:fldChar w:fldCharType="begin"/>
      </w:r>
      <w:r>
        <w:rPr>
          <w:rFonts w:hint="eastAsia" w:eastAsia="方正楷体_GBK"/>
        </w:rPr>
        <w:instrText xml:space="preserve"> PAGEREF _Toc27249 \h </w:instrText>
      </w:r>
      <w:r>
        <w:rPr>
          <w:rFonts w:hint="eastAsia" w:eastAsia="方正楷体_GBK"/>
        </w:rPr>
        <w:fldChar w:fldCharType="separate"/>
      </w:r>
      <w:r>
        <w:rPr>
          <w:rFonts w:hint="eastAsia" w:eastAsia="方正楷体_GBK"/>
        </w:rPr>
        <w:t>267</w:t>
      </w:r>
      <w:r>
        <w:rPr>
          <w:rFonts w:hint="eastAsia" w:eastAsia="方正楷体_GBK"/>
        </w:rPr>
        <w:fldChar w:fldCharType="end"/>
      </w:r>
      <w:r>
        <w:rPr>
          <w:rFonts w:hint="eastAsia" w:eastAsia="方正楷体_GBK"/>
        </w:rPr>
        <w:fldChar w:fldCharType="end"/>
      </w:r>
    </w:p>
    <w:p>
      <w:pPr>
        <w:pStyle w:val="17"/>
        <w:tabs>
          <w:tab w:val="right" w:leader="dot" w:pos="8959"/>
        </w:tabs>
        <w:spacing w:line="560" w:lineRule="exact"/>
        <w:ind w:left="538" w:hanging="537" w:hangingChars="192"/>
        <w:jc w:val="left"/>
        <w:rPr>
          <w:rFonts w:ascii="方正黑体简体" w:hAnsi="方正黑体简体" w:eastAsia="方正黑体简体" w:cs="方正黑体简体"/>
        </w:rPr>
      </w:pPr>
      <w:r>
        <w:rPr>
          <w:rFonts w:hint="eastAsia" w:ascii="方正黑体简体" w:hAnsi="方正黑体简体" w:eastAsia="方正黑体简体" w:cs="方正黑体简体"/>
        </w:rPr>
        <w:t>47</w:t>
      </w:r>
      <w:r>
        <w:rPr>
          <w:rFonts w:hint="eastAsia" w:ascii="方正黑体简体" w:hAnsi="方正黑体简体" w:eastAsia="方正黑体简体" w:cs="方正黑体简体"/>
          <w:kern w:val="0"/>
          <w:szCs w:val="52"/>
        </w:rPr>
        <w:t xml:space="preserve">. </w:t>
      </w:r>
      <w:r>
        <w:fldChar w:fldCharType="begin"/>
      </w:r>
      <w:r>
        <w:instrText xml:space="preserve"> HYPERLINK \l "_Toc7478" </w:instrText>
      </w:r>
      <w:r>
        <w:fldChar w:fldCharType="separate"/>
      </w:r>
      <w:r>
        <w:rPr>
          <w:rFonts w:hint="eastAsia" w:ascii="方正黑体简体" w:hAnsi="方正黑体简体" w:eastAsia="方正黑体简体" w:cs="方正黑体简体"/>
        </w:rPr>
        <w:t>关于贯彻执行江苏省建设工程造价管理总站《关于进一步规范建设工程材料价格发布工作的通知》的通知</w:t>
      </w:r>
      <w:r>
        <w:rPr>
          <w:rFonts w:hint="eastAsia" w:ascii="方正黑体简体" w:hAnsi="方正黑体简体" w:eastAsia="方正黑体简体" w:cs="方正黑体简体"/>
        </w:rPr>
        <w:fldChar w:fldCharType="end"/>
      </w:r>
    </w:p>
    <w:p>
      <w:pPr>
        <w:pStyle w:val="18"/>
        <w:tabs>
          <w:tab w:val="right" w:leader="dot" w:pos="8959"/>
        </w:tabs>
        <w:ind w:left="560" w:firstLine="0" w:firstLineChars="0"/>
        <w:jc w:val="left"/>
        <w:rPr>
          <w:rFonts w:eastAsia="方正楷体_GBK"/>
        </w:rPr>
      </w:pPr>
      <w:r>
        <w:fldChar w:fldCharType="begin"/>
      </w:r>
      <w:r>
        <w:instrText xml:space="preserve"> HYPERLINK \l "_Toc14572" </w:instrText>
      </w:r>
      <w:r>
        <w:fldChar w:fldCharType="separate"/>
      </w:r>
      <w:r>
        <w:rPr>
          <w:rFonts w:hint="eastAsia" w:eastAsia="方正楷体_GBK"/>
        </w:rPr>
        <w:t>苏工价〔2020〕1号</w:t>
      </w:r>
      <w:r>
        <w:rPr>
          <w:rFonts w:hint="eastAsia" w:eastAsia="方正楷体_GBK"/>
        </w:rPr>
        <w:tab/>
      </w:r>
      <w:r>
        <w:rPr>
          <w:rFonts w:hint="eastAsia" w:eastAsia="方正楷体_GBK"/>
        </w:rPr>
        <w:fldChar w:fldCharType="begin"/>
      </w:r>
      <w:r>
        <w:rPr>
          <w:rFonts w:hint="eastAsia" w:eastAsia="方正楷体_GBK"/>
        </w:rPr>
        <w:instrText xml:space="preserve"> PAGEREF _Toc14572 \h </w:instrText>
      </w:r>
      <w:r>
        <w:rPr>
          <w:rFonts w:hint="eastAsia" w:eastAsia="方正楷体_GBK"/>
        </w:rPr>
        <w:fldChar w:fldCharType="separate"/>
      </w:r>
      <w:r>
        <w:rPr>
          <w:rFonts w:hint="eastAsia" w:eastAsia="方正楷体_GBK"/>
        </w:rPr>
        <w:t>270</w:t>
      </w:r>
      <w:r>
        <w:rPr>
          <w:rFonts w:hint="eastAsia" w:eastAsia="方正楷体_GBK"/>
        </w:rPr>
        <w:fldChar w:fldCharType="end"/>
      </w:r>
      <w:r>
        <w:rPr>
          <w:rFonts w:hint="eastAsia" w:eastAsia="方正楷体_GBK"/>
        </w:rPr>
        <w:fldChar w:fldCharType="end"/>
      </w:r>
    </w:p>
    <w:p>
      <w:pPr>
        <w:pStyle w:val="17"/>
        <w:tabs>
          <w:tab w:val="right" w:leader="dot" w:pos="8959"/>
        </w:tabs>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48</w:t>
      </w:r>
      <w:r>
        <w:rPr>
          <w:rFonts w:hint="eastAsia" w:ascii="方正黑体简体" w:hAnsi="方正黑体简体" w:eastAsia="方正黑体简体" w:cs="方正黑体简体"/>
          <w:kern w:val="0"/>
          <w:szCs w:val="52"/>
        </w:rPr>
        <w:t xml:space="preserve">. </w:t>
      </w:r>
      <w:r>
        <w:fldChar w:fldCharType="begin"/>
      </w:r>
      <w:r>
        <w:instrText xml:space="preserve"> HYPERLINK \l "_Toc14292" </w:instrText>
      </w:r>
      <w:r>
        <w:fldChar w:fldCharType="separate"/>
      </w:r>
      <w:r>
        <w:rPr>
          <w:rFonts w:hint="eastAsia" w:ascii="方正黑体简体" w:hAnsi="方正黑体简体" w:eastAsia="方正黑体简体" w:cs="方正黑体简体"/>
        </w:rPr>
        <w:t>关于停止在招标控制价中使用浮动幅度系数的通知</w:t>
      </w:r>
      <w:r>
        <w:rPr>
          <w:rFonts w:hint="eastAsia" w:ascii="方正黑体简体" w:hAnsi="方正黑体简体" w:eastAsia="方正黑体简体" w:cs="方正黑体简体"/>
        </w:rPr>
        <w:fldChar w:fldCharType="end"/>
      </w:r>
    </w:p>
    <w:p>
      <w:pPr>
        <w:pStyle w:val="18"/>
        <w:tabs>
          <w:tab w:val="right" w:leader="dot" w:pos="8959"/>
        </w:tabs>
        <w:ind w:left="560" w:firstLine="0" w:firstLineChars="0"/>
        <w:jc w:val="left"/>
        <w:rPr>
          <w:rFonts w:eastAsia="方正楷体_GBK"/>
        </w:rPr>
      </w:pPr>
      <w:r>
        <w:fldChar w:fldCharType="begin"/>
      </w:r>
      <w:r>
        <w:instrText xml:space="preserve"> HYPERLINK \l "_Toc31656" </w:instrText>
      </w:r>
      <w:r>
        <w:fldChar w:fldCharType="separate"/>
      </w:r>
      <w:r>
        <w:rPr>
          <w:rFonts w:hint="eastAsia" w:eastAsia="方正楷体_GBK"/>
        </w:rPr>
        <w:t>苏工价〔2020〕8号</w:t>
      </w:r>
      <w:r>
        <w:rPr>
          <w:rFonts w:hint="eastAsia" w:eastAsia="方正楷体_GBK"/>
        </w:rPr>
        <w:tab/>
      </w:r>
      <w:r>
        <w:rPr>
          <w:rFonts w:hint="eastAsia" w:eastAsia="方正楷体_GBK"/>
        </w:rPr>
        <w:fldChar w:fldCharType="begin"/>
      </w:r>
      <w:r>
        <w:rPr>
          <w:rFonts w:hint="eastAsia" w:eastAsia="方正楷体_GBK"/>
        </w:rPr>
        <w:instrText xml:space="preserve"> PAGEREF _Toc31656 \h </w:instrText>
      </w:r>
      <w:r>
        <w:rPr>
          <w:rFonts w:hint="eastAsia" w:eastAsia="方正楷体_GBK"/>
        </w:rPr>
        <w:fldChar w:fldCharType="separate"/>
      </w:r>
      <w:r>
        <w:rPr>
          <w:rFonts w:hint="eastAsia" w:eastAsia="方正楷体_GBK"/>
        </w:rPr>
        <w:t>271</w:t>
      </w:r>
      <w:r>
        <w:rPr>
          <w:rFonts w:hint="eastAsia" w:eastAsia="方正楷体_GBK"/>
        </w:rPr>
        <w:fldChar w:fldCharType="end"/>
      </w:r>
      <w:r>
        <w:rPr>
          <w:rFonts w:hint="eastAsia" w:eastAsia="方正楷体_GBK"/>
        </w:rPr>
        <w:fldChar w:fldCharType="end"/>
      </w:r>
    </w:p>
    <w:p>
      <w:pPr>
        <w:pStyle w:val="17"/>
        <w:tabs>
          <w:tab w:val="right" w:leader="dot" w:pos="8959"/>
        </w:tabs>
        <w:ind w:firstLine="0" w:firstLineChars="0"/>
        <w:jc w:val="left"/>
        <w:rPr>
          <w:rFonts w:ascii="方正黑体简体" w:hAnsi="方正黑体简体" w:eastAsia="方正黑体简体" w:cs="方正黑体简体"/>
        </w:rPr>
      </w:pPr>
      <w:r>
        <w:rPr>
          <w:rFonts w:hint="eastAsia" w:ascii="方正黑体简体" w:hAnsi="方正黑体简体" w:eastAsia="方正黑体简体" w:cs="方正黑体简体"/>
        </w:rPr>
        <w:t>49</w:t>
      </w:r>
      <w:r>
        <w:rPr>
          <w:rFonts w:hint="eastAsia" w:ascii="方正黑体简体" w:hAnsi="方正黑体简体" w:eastAsia="方正黑体简体" w:cs="方正黑体简体"/>
          <w:kern w:val="0"/>
          <w:szCs w:val="52"/>
        </w:rPr>
        <w:t xml:space="preserve">. </w:t>
      </w:r>
      <w:r>
        <w:fldChar w:fldCharType="begin"/>
      </w:r>
      <w:r>
        <w:instrText xml:space="preserve"> HYPERLINK \l "_Toc650" </w:instrText>
      </w:r>
      <w:r>
        <w:fldChar w:fldCharType="separate"/>
      </w:r>
      <w:r>
        <w:rPr>
          <w:rFonts w:hint="eastAsia" w:ascii="方正黑体简体" w:hAnsi="方正黑体简体" w:eastAsia="方正黑体简体" w:cs="方正黑体简体"/>
        </w:rPr>
        <w:t>关于明确承插型盘扣式脚手架和模板支架计价问题的通知</w:t>
      </w:r>
      <w:r>
        <w:rPr>
          <w:rFonts w:hint="eastAsia" w:ascii="方正黑体简体" w:hAnsi="方正黑体简体" w:eastAsia="方正黑体简体" w:cs="方正黑体简体"/>
        </w:rPr>
        <w:fldChar w:fldCharType="end"/>
      </w:r>
    </w:p>
    <w:p>
      <w:pPr>
        <w:pStyle w:val="18"/>
        <w:tabs>
          <w:tab w:val="right" w:leader="dot" w:pos="8959"/>
        </w:tabs>
        <w:ind w:left="560" w:firstLine="0" w:firstLineChars="0"/>
        <w:jc w:val="left"/>
        <w:rPr>
          <w:rFonts w:hint="eastAsia" w:eastAsia="方正楷体_GBK"/>
        </w:rPr>
      </w:pPr>
      <w:r>
        <w:rPr>
          <w:rFonts w:ascii="宋体" w:hAnsi="宋体" w:cs="宋体"/>
          <w:color w:val="FF0000"/>
          <w:kern w:val="0"/>
          <w:szCs w:val="52"/>
        </w:rPr>
        <w:fldChar w:fldCharType="end"/>
      </w:r>
      <w:r>
        <w:fldChar w:fldCharType="begin"/>
      </w:r>
      <w:r>
        <w:instrText xml:space="preserve"> HYPERLINK \l "_Toc25581" </w:instrText>
      </w:r>
      <w:r>
        <w:fldChar w:fldCharType="separate"/>
      </w:r>
      <w:r>
        <w:rPr>
          <w:rFonts w:hint="eastAsia" w:eastAsia="方正楷体_GBK"/>
        </w:rPr>
        <w:t>苏工价〔2020〕10号</w:t>
      </w:r>
      <w:r>
        <w:rPr>
          <w:rFonts w:hint="eastAsia" w:eastAsia="方正楷体_GBK"/>
        </w:rPr>
        <w:tab/>
      </w:r>
      <w:r>
        <w:rPr>
          <w:rFonts w:hint="eastAsia" w:eastAsia="方正楷体_GBK"/>
        </w:rPr>
        <w:fldChar w:fldCharType="begin"/>
      </w:r>
      <w:r>
        <w:rPr>
          <w:rFonts w:hint="eastAsia" w:eastAsia="方正楷体_GBK"/>
        </w:rPr>
        <w:instrText xml:space="preserve"> PAGEREF _Toc25581 \h </w:instrText>
      </w:r>
      <w:r>
        <w:rPr>
          <w:rFonts w:hint="eastAsia" w:eastAsia="方正楷体_GBK"/>
        </w:rPr>
        <w:fldChar w:fldCharType="separate"/>
      </w:r>
      <w:r>
        <w:rPr>
          <w:rFonts w:hint="eastAsia" w:eastAsia="方正楷体_GBK"/>
        </w:rPr>
        <w:t>272</w:t>
      </w:r>
      <w:r>
        <w:rPr>
          <w:rFonts w:hint="eastAsia" w:eastAsia="方正楷体_GBK"/>
        </w:rPr>
        <w:fldChar w:fldCharType="end"/>
      </w:r>
      <w:r>
        <w:rPr>
          <w:rFonts w:hint="eastAsia" w:eastAsia="方正楷体_GBK"/>
        </w:rPr>
        <w:fldChar w:fldCharType="end"/>
      </w:r>
    </w:p>
    <w:p>
      <w:pPr>
        <w:pStyle w:val="17"/>
        <w:tabs>
          <w:tab w:val="right" w:leader="dot" w:pos="8959"/>
        </w:tabs>
        <w:ind w:firstLine="0" w:firstLineChars="0"/>
        <w:jc w:val="left"/>
        <w:rPr>
          <w:rFonts w:hint="eastAsia" w:ascii="方正黑体简体" w:hAnsi="方正黑体简体" w:eastAsia="方正黑体简体" w:cs="方正黑体简体"/>
        </w:rPr>
      </w:pPr>
      <w:r>
        <w:rPr>
          <w:rFonts w:hint="eastAsia" w:ascii="方正黑体简体" w:hAnsi="方正黑体简体" w:eastAsia="方正黑体简体" w:cs="方正黑体简体"/>
          <w:lang w:val="en-US" w:eastAsia="zh-CN"/>
        </w:rPr>
        <w:t>50</w:t>
      </w:r>
      <w:r>
        <w:rPr>
          <w:rFonts w:hint="eastAsia" w:ascii="方正黑体简体" w:hAnsi="方正黑体简体" w:eastAsia="方正黑体简体" w:cs="方正黑体简体"/>
        </w:rPr>
        <w:t xml:space="preserve">. </w:t>
      </w:r>
      <w:r>
        <w:rPr>
          <w:rFonts w:hint="eastAsia" w:ascii="方正黑体简体" w:hAnsi="方正黑体简体" w:eastAsia="方正黑体简体" w:cs="方正黑体简体"/>
        </w:rPr>
        <w:fldChar w:fldCharType="begin"/>
      </w:r>
      <w:r>
        <w:rPr>
          <w:rFonts w:hint="eastAsia" w:ascii="方正黑体简体" w:hAnsi="方正黑体简体" w:eastAsia="方正黑体简体" w:cs="方正黑体简体"/>
        </w:rPr>
        <w:instrText xml:space="preserve">TOC \o "1-2" \h \u </w:instrText>
      </w:r>
      <w:r>
        <w:rPr>
          <w:rFonts w:hint="eastAsia" w:ascii="方正黑体简体" w:hAnsi="方正黑体简体" w:eastAsia="方正黑体简体" w:cs="方正黑体简体"/>
        </w:rPr>
        <w:fldChar w:fldCharType="separate"/>
      </w:r>
      <w:r>
        <w:rPr>
          <w:rFonts w:hint="eastAsia" w:ascii="方正黑体简体" w:hAnsi="方正黑体简体" w:eastAsia="方正黑体简体" w:cs="方正黑体简体"/>
        </w:rPr>
        <w:fldChar w:fldCharType="begin"/>
      </w:r>
      <w:r>
        <w:rPr>
          <w:rFonts w:hint="eastAsia" w:ascii="方正黑体简体" w:hAnsi="方正黑体简体" w:eastAsia="方正黑体简体" w:cs="方正黑体简体"/>
        </w:rPr>
        <w:instrText xml:space="preserve"> HYPERLINK \l _Toc10006 </w:instrText>
      </w:r>
      <w:r>
        <w:rPr>
          <w:rFonts w:hint="eastAsia" w:ascii="方正黑体简体" w:hAnsi="方正黑体简体" w:eastAsia="方正黑体简体" w:cs="方正黑体简体"/>
        </w:rPr>
        <w:fldChar w:fldCharType="separate"/>
      </w:r>
      <w:r>
        <w:rPr>
          <w:rFonts w:hint="eastAsia" w:ascii="方正黑体简体" w:hAnsi="方正黑体简体" w:eastAsia="方正黑体简体" w:cs="方正黑体简体"/>
        </w:rPr>
        <w:t>关于开展绿色建材厂商价</w:t>
      </w:r>
      <w:r>
        <w:rPr>
          <w:rFonts w:hint="eastAsia" w:ascii="方正黑体简体" w:hAnsi="方正黑体简体" w:eastAsia="方正黑体简体" w:cs="方正黑体简体"/>
        </w:rPr>
        <w:fldChar w:fldCharType="end"/>
      </w:r>
      <w:r>
        <w:rPr>
          <w:rFonts w:hint="eastAsia" w:ascii="方正黑体简体" w:hAnsi="方正黑体简体" w:eastAsia="方正黑体简体" w:cs="方正黑体简体"/>
        </w:rPr>
        <w:fldChar w:fldCharType="begin"/>
      </w:r>
      <w:r>
        <w:rPr>
          <w:rFonts w:hint="eastAsia" w:ascii="方正黑体简体" w:hAnsi="方正黑体简体" w:eastAsia="方正黑体简体" w:cs="方正黑体简体"/>
        </w:rPr>
        <w:instrText xml:space="preserve"> HYPERLINK \l _Toc7909 </w:instrText>
      </w:r>
      <w:r>
        <w:rPr>
          <w:rFonts w:hint="eastAsia" w:ascii="方正黑体简体" w:hAnsi="方正黑体简体" w:eastAsia="方正黑体简体" w:cs="方正黑体简体"/>
        </w:rPr>
        <w:fldChar w:fldCharType="separate"/>
      </w:r>
      <w:r>
        <w:rPr>
          <w:rFonts w:hint="eastAsia" w:ascii="方正黑体简体" w:hAnsi="方正黑体简体" w:eastAsia="方正黑体简体" w:cs="方正黑体简体"/>
        </w:rPr>
        <w:t>信息发布工作的通知</w:t>
      </w:r>
      <w:r>
        <w:rPr>
          <w:rFonts w:hint="eastAsia" w:ascii="方正黑体简体" w:hAnsi="方正黑体简体" w:eastAsia="方正黑体简体" w:cs="方正黑体简体"/>
        </w:rPr>
        <w:fldChar w:fldCharType="end"/>
      </w:r>
    </w:p>
    <w:p>
      <w:pPr>
        <w:pStyle w:val="18"/>
        <w:tabs>
          <w:tab w:val="right" w:leader="dot" w:pos="8959"/>
        </w:tabs>
        <w:ind w:left="560" w:firstLine="0" w:firstLineChars="0"/>
        <w:jc w:val="left"/>
        <w:rPr>
          <w:rFonts w:hint="eastAsia" w:eastAsia="方正楷体_GBK"/>
        </w:rPr>
      </w:pPr>
      <w:r>
        <w:rPr>
          <w:rFonts w:hint="eastAsia" w:eastAsia="方正楷体_GBK"/>
        </w:rPr>
        <w:fldChar w:fldCharType="begin"/>
      </w:r>
      <w:r>
        <w:rPr>
          <w:rFonts w:hint="eastAsia" w:eastAsia="方正楷体_GBK"/>
        </w:rPr>
        <w:instrText xml:space="preserve"> HYPERLINK \l _Toc3689 </w:instrText>
      </w:r>
      <w:r>
        <w:rPr>
          <w:rFonts w:hint="eastAsia" w:eastAsia="方正楷体_GBK"/>
        </w:rPr>
        <w:fldChar w:fldCharType="separate"/>
      </w:r>
      <w:r>
        <w:rPr>
          <w:rFonts w:hint="eastAsia" w:eastAsia="方正楷体_GBK"/>
        </w:rPr>
        <w:t>苏工价〔2021〕7号</w:t>
      </w:r>
      <w:r>
        <w:rPr>
          <w:rFonts w:hint="eastAsia" w:eastAsia="方正楷体_GBK"/>
        </w:rPr>
        <w:tab/>
      </w:r>
      <w:r>
        <w:rPr>
          <w:rFonts w:hint="eastAsia" w:eastAsia="方正楷体_GBK"/>
        </w:rPr>
        <w:fldChar w:fldCharType="begin"/>
      </w:r>
      <w:r>
        <w:rPr>
          <w:rFonts w:hint="eastAsia" w:eastAsia="方正楷体_GBK"/>
        </w:rPr>
        <w:instrText xml:space="preserve"> PAGEREF _Toc3689 \h </w:instrText>
      </w:r>
      <w:r>
        <w:rPr>
          <w:rFonts w:hint="eastAsia" w:eastAsia="方正楷体_GBK"/>
        </w:rPr>
        <w:fldChar w:fldCharType="separate"/>
      </w:r>
      <w:r>
        <w:rPr>
          <w:rFonts w:hint="eastAsia" w:eastAsia="方正楷体_GBK"/>
        </w:rPr>
        <w:t>274</w:t>
      </w:r>
      <w:r>
        <w:rPr>
          <w:rFonts w:hint="eastAsia" w:eastAsia="方正楷体_GBK"/>
        </w:rPr>
        <w:fldChar w:fldCharType="end"/>
      </w:r>
      <w:r>
        <w:rPr>
          <w:rFonts w:hint="eastAsia" w:eastAsia="方正楷体_GBK"/>
        </w:rPr>
        <w:fldChar w:fldCharType="end"/>
      </w:r>
    </w:p>
    <w:p>
      <w:pPr>
        <w:pStyle w:val="17"/>
        <w:tabs>
          <w:tab w:val="right" w:leader="dot" w:pos="8959"/>
        </w:tabs>
        <w:ind w:firstLine="0" w:firstLineChars="0"/>
        <w:jc w:val="left"/>
        <w:rPr>
          <w:rFonts w:ascii="宋体" w:hAnsi="宋体" w:cs="宋体"/>
          <w:color w:val="FF0000"/>
          <w:kern w:val="0"/>
          <w:sz w:val="52"/>
          <w:szCs w:val="52"/>
        </w:rPr>
      </w:pPr>
      <w:r>
        <w:rPr>
          <w:rFonts w:hint="eastAsia" w:ascii="方正黑体简体" w:hAnsi="方正黑体简体" w:eastAsia="方正黑体简体" w:cs="方正黑体简体"/>
        </w:rPr>
        <w:fldChar w:fldCharType="end"/>
      </w:r>
    </w:p>
    <w:p>
      <w:pPr>
        <w:pStyle w:val="17"/>
        <w:tabs>
          <w:tab w:val="right" w:leader="dot" w:pos="8959"/>
        </w:tabs>
        <w:ind w:firstLine="560"/>
      </w:pPr>
      <w:r>
        <w:rPr>
          <w:rFonts w:hint="eastAsia"/>
        </w:rPr>
        <w:fldChar w:fldCharType="begin"/>
      </w:r>
      <w:r>
        <w:instrText xml:space="preserve">TOC \o "1-2" \h \u </w:instrText>
      </w:r>
      <w:r>
        <w:rPr>
          <w:rFonts w:hint="eastAsia"/>
        </w:rPr>
        <w:fldChar w:fldCharType="separate"/>
      </w:r>
    </w:p>
    <w:p>
      <w:pPr>
        <w:pStyle w:val="17"/>
        <w:tabs>
          <w:tab w:val="right" w:leader="dot" w:pos="8959"/>
        </w:tabs>
        <w:ind w:firstLine="560"/>
      </w:pPr>
    </w:p>
    <w:p>
      <w:pPr>
        <w:pStyle w:val="17"/>
        <w:tabs>
          <w:tab w:val="right" w:leader="dot" w:pos="8959"/>
        </w:tabs>
        <w:ind w:firstLine="560"/>
      </w:pPr>
    </w:p>
    <w:p>
      <w:pPr>
        <w:pStyle w:val="17"/>
        <w:tabs>
          <w:tab w:val="right" w:leader="dot" w:pos="8959"/>
        </w:tabs>
        <w:ind w:firstLine="560"/>
      </w:pPr>
    </w:p>
    <w:p>
      <w:pPr>
        <w:pStyle w:val="7"/>
        <w:ind w:firstLine="600"/>
        <w:rPr>
          <w:rFonts w:hint="default"/>
        </w:rPr>
        <w:sectPr>
          <w:footerReference r:id="rId11" w:type="default"/>
          <w:pgSz w:w="11907" w:h="16840"/>
          <w:pgMar w:top="1587" w:right="1474" w:bottom="1474" w:left="1474" w:header="0" w:footer="975" w:gutter="0"/>
          <w:pgNumType w:fmt="upperRoman" w:start="1"/>
          <w:cols w:space="0" w:num="1"/>
        </w:sectPr>
      </w:pPr>
      <w:r>
        <w:fldChar w:fldCharType="end"/>
      </w:r>
    </w:p>
    <w:p>
      <w:pPr>
        <w:pStyle w:val="5"/>
      </w:pPr>
      <w:bookmarkStart w:id="0" w:name="_Toc26429"/>
      <w:bookmarkStart w:id="1" w:name="_Toc26490"/>
      <w:bookmarkStart w:id="2" w:name="_Toc337"/>
      <w:bookmarkStart w:id="3" w:name="_Toc24773"/>
      <w:bookmarkStart w:id="4" w:name="_Toc9789"/>
      <w:bookmarkStart w:id="5" w:name="_Toc32568"/>
    </w:p>
    <w:p>
      <w:pPr>
        <w:pStyle w:val="5"/>
      </w:pPr>
    </w:p>
    <w:p>
      <w:pPr>
        <w:pStyle w:val="5"/>
      </w:pPr>
    </w:p>
    <w:p>
      <w:pPr>
        <w:pStyle w:val="5"/>
      </w:pPr>
    </w:p>
    <w:p>
      <w:pPr>
        <w:pStyle w:val="5"/>
      </w:pPr>
    </w:p>
    <w:p>
      <w:pPr>
        <w:pStyle w:val="6"/>
        <w:bidi w:val="0"/>
      </w:pPr>
      <w:bookmarkStart w:id="6" w:name="_Toc32681"/>
      <w:r>
        <w:rPr>
          <w:rFonts w:hint="eastAsia"/>
        </w:rPr>
        <w:t>一、苏州市住房和城乡建设局</w:t>
      </w:r>
      <w:bookmarkEnd w:id="6"/>
    </w:p>
    <w:p>
      <w:pPr>
        <w:pStyle w:val="6"/>
        <w:bidi w:val="0"/>
      </w:pPr>
      <w:bookmarkStart w:id="7" w:name="_Toc29192"/>
      <w:r>
        <w:rPr>
          <w:rFonts w:hint="eastAsia"/>
          <w:lang w:val="en-US" w:eastAsia="zh-CN"/>
        </w:rPr>
        <w:t xml:space="preserve">   </w:t>
      </w:r>
      <w:r>
        <w:t>相关文件</w:t>
      </w:r>
      <w:bookmarkEnd w:id="7"/>
      <w:r>
        <w:rPr>
          <w:rFonts w:hint="eastAsia"/>
        </w:rPr>
        <w:t>及省住建厅相关公告</w:t>
      </w:r>
    </w:p>
    <w:p>
      <w:pPr>
        <w:pStyle w:val="5"/>
      </w:pPr>
    </w:p>
    <w:p>
      <w:pPr>
        <w:ind w:firstLine="560"/>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sectPr>
          <w:footerReference r:id="rId12" w:type="default"/>
          <w:pgSz w:w="11907" w:h="16840"/>
          <w:pgMar w:top="1587" w:right="1474" w:bottom="1474" w:left="1474" w:header="0" w:footer="975" w:gutter="0"/>
          <w:pgNumType w:fmt="decimal" w:start="1"/>
          <w:cols w:space="0" w:num="1"/>
        </w:sectPr>
      </w:pPr>
    </w:p>
    <w:p>
      <w:pPr>
        <w:pStyle w:val="5"/>
      </w:pPr>
      <w:r>
        <w:rPr>
          <w:rFonts w:hint="eastAsia"/>
        </w:rPr>
        <w:t>苏州市住房和城乡建设局文件</w:t>
      </w:r>
      <w:bookmarkEnd w:id="0"/>
      <w:bookmarkEnd w:id="1"/>
      <w:bookmarkEnd w:id="2"/>
      <w:bookmarkEnd w:id="3"/>
      <w:bookmarkEnd w:id="4"/>
      <w:bookmarkEnd w:id="5"/>
    </w:p>
    <w:p>
      <w:pPr>
        <w:spacing w:line="500" w:lineRule="exact"/>
        <w:ind w:firstLine="560"/>
        <w:jc w:val="center"/>
        <w:rPr>
          <w:rFonts w:ascii="仿宋_GB2312"/>
        </w:rPr>
      </w:pPr>
      <w:r>
        <w:rPr>
          <w:rFonts w:ascii="仿宋_GB2312"/>
        </w:rPr>
        <w:t> </w:t>
      </w:r>
    </w:p>
    <w:p>
      <w:pPr>
        <w:pStyle w:val="4"/>
      </w:pPr>
      <w:bookmarkStart w:id="8" w:name="_Toc9761"/>
      <w:bookmarkStart w:id="9" w:name="_Toc31197"/>
      <w:bookmarkStart w:id="10" w:name="_Toc18834"/>
      <w:bookmarkStart w:id="11" w:name="_Toc29023"/>
      <w:bookmarkStart w:id="12" w:name="_Toc23400"/>
      <w:bookmarkStart w:id="13" w:name="_Toc16151"/>
      <w:bookmarkStart w:id="14" w:name="_Toc3795"/>
      <w:bookmarkStart w:id="15" w:name="_Toc5849"/>
      <w:bookmarkStart w:id="16" w:name="_Toc8313"/>
      <w:bookmarkStart w:id="17" w:name="_Toc2228"/>
      <w:bookmarkStart w:id="18" w:name="_Toc15925"/>
      <w:bookmarkStart w:id="19" w:name="_Toc13968"/>
      <w:bookmarkStart w:id="20" w:name="_Toc6700"/>
      <w:r>
        <w:t>苏住建价〔2010〕5号</w:t>
      </w:r>
      <w:bookmarkEnd w:id="8"/>
      <w:bookmarkEnd w:id="9"/>
      <w:bookmarkEnd w:id="10"/>
      <w:bookmarkEnd w:id="11"/>
      <w:bookmarkEnd w:id="12"/>
      <w:bookmarkEnd w:id="13"/>
      <w:bookmarkEnd w:id="14"/>
      <w:bookmarkEnd w:id="15"/>
      <w:bookmarkEnd w:id="16"/>
      <w:bookmarkEnd w:id="17"/>
      <w:bookmarkEnd w:id="18"/>
      <w:bookmarkEnd w:id="19"/>
      <w:bookmarkEnd w:id="20"/>
    </w:p>
    <w:p>
      <w:pPr>
        <w:spacing w:line="500" w:lineRule="exact"/>
        <w:ind w:firstLine="560"/>
        <w:jc w:val="center"/>
        <w:rPr>
          <w:rFonts w:ascii="仿宋_GB2312"/>
        </w:rPr>
      </w:pPr>
      <w:r>
        <w:rPr>
          <w:rFonts w:ascii="仿宋_GB2312"/>
        </w:rPr>
        <w:t> </w:t>
      </w:r>
    </w:p>
    <w:p>
      <w:pPr>
        <w:pStyle w:val="3"/>
      </w:pPr>
      <w:bookmarkStart w:id="21" w:name="_Toc13354"/>
      <w:bookmarkStart w:id="22" w:name="_Toc11898"/>
      <w:bookmarkStart w:id="23" w:name="_Toc4761"/>
      <w:bookmarkStart w:id="24" w:name="_Toc13614"/>
      <w:bookmarkStart w:id="25" w:name="_Toc6860"/>
      <w:bookmarkStart w:id="26" w:name="_Toc10679"/>
      <w:bookmarkStart w:id="27" w:name="_Toc6449"/>
      <w:bookmarkStart w:id="28" w:name="_Toc3387"/>
      <w:bookmarkStart w:id="29" w:name="_Toc7875"/>
      <w:bookmarkStart w:id="30" w:name="_Toc18242"/>
      <w:bookmarkStart w:id="31" w:name="_Toc9307"/>
      <w:bookmarkStart w:id="32" w:name="_Toc10657"/>
      <w:bookmarkStart w:id="33" w:name="_Toc4882"/>
      <w:bookmarkStart w:id="34" w:name="_Toc54"/>
      <w:r>
        <w:t>关于执行《江苏省房屋修缮工程计价表》和</w:t>
      </w:r>
      <w:bookmarkEnd w:id="21"/>
      <w:bookmarkEnd w:id="22"/>
      <w:bookmarkEnd w:id="23"/>
      <w:bookmarkEnd w:id="24"/>
      <w:bookmarkEnd w:id="25"/>
      <w:bookmarkEnd w:id="26"/>
      <w:bookmarkEnd w:id="27"/>
      <w:bookmarkEnd w:id="28"/>
      <w:bookmarkEnd w:id="29"/>
      <w:bookmarkEnd w:id="30"/>
      <w:bookmarkEnd w:id="31"/>
      <w:bookmarkEnd w:id="32"/>
      <w:bookmarkEnd w:id="33"/>
      <w:bookmarkEnd w:id="34"/>
    </w:p>
    <w:p>
      <w:pPr>
        <w:pStyle w:val="3"/>
      </w:pPr>
      <w:bookmarkStart w:id="35" w:name="_Toc4200"/>
      <w:bookmarkStart w:id="36" w:name="_Toc26452"/>
      <w:bookmarkStart w:id="37" w:name="_Toc31435"/>
      <w:bookmarkStart w:id="38" w:name="_Toc12619"/>
      <w:bookmarkStart w:id="39" w:name="_Toc17598"/>
      <w:bookmarkStart w:id="40" w:name="_Toc27532"/>
      <w:bookmarkStart w:id="41" w:name="_Toc17028"/>
      <w:bookmarkStart w:id="42" w:name="_Toc23255"/>
      <w:bookmarkStart w:id="43" w:name="_Toc15507"/>
      <w:bookmarkStart w:id="44" w:name="_Toc19081"/>
      <w:bookmarkStart w:id="45" w:name="_Toc1028"/>
      <w:bookmarkStart w:id="46" w:name="_Toc1961"/>
      <w:bookmarkStart w:id="47" w:name="_Toc16234"/>
      <w:bookmarkStart w:id="48" w:name="_Toc1570"/>
      <w:r>
        <w:t>《江苏省抗震加固工程计价表》</w:t>
      </w:r>
      <w:bookmarkEnd w:id="35"/>
      <w:bookmarkEnd w:id="36"/>
    </w:p>
    <w:p>
      <w:pPr>
        <w:pStyle w:val="3"/>
      </w:pPr>
      <w:bookmarkStart w:id="49" w:name="_Toc32509"/>
      <w:bookmarkStart w:id="50" w:name="_Toc5579"/>
      <w:r>
        <w:t>（2009版）的通知</w:t>
      </w:r>
      <w:bookmarkEnd w:id="37"/>
      <w:bookmarkEnd w:id="38"/>
      <w:bookmarkEnd w:id="39"/>
      <w:bookmarkEnd w:id="40"/>
      <w:bookmarkEnd w:id="41"/>
      <w:bookmarkEnd w:id="42"/>
      <w:bookmarkEnd w:id="43"/>
      <w:bookmarkEnd w:id="44"/>
      <w:bookmarkEnd w:id="45"/>
      <w:bookmarkEnd w:id="46"/>
      <w:bookmarkEnd w:id="47"/>
      <w:bookmarkEnd w:id="48"/>
      <w:bookmarkEnd w:id="49"/>
      <w:bookmarkEnd w:id="50"/>
    </w:p>
    <w:p>
      <w:pPr>
        <w:spacing w:line="440" w:lineRule="exact"/>
        <w:ind w:firstLine="460"/>
        <w:rPr>
          <w:rFonts w:ascii="ˎ̥" w:hAnsi="ˎ̥" w:cs="宋体"/>
          <w:color w:val="000000"/>
          <w:kern w:val="0"/>
          <w:sz w:val="23"/>
          <w:szCs w:val="23"/>
        </w:rPr>
      </w:pPr>
      <w:r>
        <w:rPr>
          <w:rFonts w:ascii="ˎ̥" w:hAnsi="ˎ̥" w:cs="宋体"/>
          <w:color w:val="000000"/>
          <w:kern w:val="0"/>
          <w:sz w:val="23"/>
          <w:szCs w:val="23"/>
        </w:rPr>
        <w:t> </w:t>
      </w:r>
    </w:p>
    <w:p>
      <w:pPr>
        <w:widowControl/>
        <w:spacing w:line="420" w:lineRule="atLeast"/>
        <w:ind w:firstLine="460"/>
        <w:jc w:val="center"/>
        <w:rPr>
          <w:rFonts w:ascii="ˎ̥" w:hAnsi="ˎ̥" w:cs="宋体"/>
          <w:color w:val="000000"/>
          <w:kern w:val="0"/>
          <w:sz w:val="23"/>
          <w:szCs w:val="23"/>
        </w:rPr>
      </w:pPr>
    </w:p>
    <w:p>
      <w:pPr>
        <w:ind w:firstLine="0" w:firstLineChars="0"/>
      </w:pPr>
      <w:r>
        <w:t>各市、区住房和城乡建设局，苏州工业园区规划建设局、苏州高新区建设局，市各有关委办局：</w:t>
      </w:r>
    </w:p>
    <w:p>
      <w:pPr>
        <w:ind w:firstLine="560"/>
      </w:pPr>
      <w:r>
        <w:t>《江苏省房屋修缮工程计价表》和《江苏省抗震加固工程计价表》（2009年版）已由省住房和城乡建设厅颁发，根据我市的实际情况，经研究，我市决定从2010年6月1日开始执行，原相应定额同时废止。</w:t>
      </w:r>
    </w:p>
    <w:p>
      <w:pPr>
        <w:ind w:firstLine="560"/>
      </w:pPr>
      <w:r>
        <w:t>房屋修缮和抗震加固工程暂不执行工程量清单计价方式，相关费用的计取按照原苏州市建设局《关于贯彻执行〈建设工程工程量清单计价规范〉（GB50500-2008）和〈江苏省建设工程费用定额〉的通知》（苏建价〔2009〕8号）执行，抗震加固工程的措施项目因2009费用定额中未单列，按修缮土建标准执行，但二次搬运费调整为按分部分项费的1.1%计取。</w:t>
      </w:r>
    </w:p>
    <w:p>
      <w:pPr>
        <w:ind w:firstLine="560"/>
      </w:pPr>
      <w:r>
        <w:t>在实施过程中如遇问题，请将意见和建议及时反馈至苏州市工程造价管理处。</w:t>
      </w:r>
    </w:p>
    <w:p>
      <w:pPr>
        <w:ind w:firstLine="560"/>
        <w:jc w:val="right"/>
        <w:rPr>
          <w:rFonts w:ascii="仿宋_GB2312"/>
          <w:spacing w:val="4"/>
          <w:szCs w:val="32"/>
        </w:rPr>
      </w:pPr>
      <w:r>
        <w:t> 二</w:t>
      </w:r>
      <w:r>
        <w:rPr>
          <w:rFonts w:hint="eastAsia"/>
        </w:rPr>
        <w:t>○</w:t>
      </w:r>
      <w:r>
        <w:t>一</w:t>
      </w:r>
      <w:r>
        <w:rPr>
          <w:rFonts w:hint="eastAsia"/>
        </w:rPr>
        <w:t>○</w:t>
      </w:r>
      <w:r>
        <w:t>年五月十七日</w:t>
      </w:r>
    </w:p>
    <w:p>
      <w:pPr>
        <w:widowControl/>
        <w:spacing w:before="100" w:beforeAutospacing="1" w:after="100" w:afterAutospacing="1" w:line="500" w:lineRule="exact"/>
        <w:jc w:val="center"/>
        <w:rPr>
          <w:rFonts w:ascii="宋体" w:hAnsi="宋体" w:cs="宋体"/>
          <w:color w:val="FF0000"/>
          <w:kern w:val="0"/>
          <w:sz w:val="52"/>
          <w:szCs w:val="52"/>
        </w:rPr>
      </w:pPr>
    </w:p>
    <w:p>
      <w:pPr>
        <w:pStyle w:val="5"/>
      </w:pPr>
      <w:bookmarkStart w:id="51" w:name="_Toc29455"/>
      <w:bookmarkStart w:id="52" w:name="_Toc18119"/>
      <w:bookmarkStart w:id="53" w:name="_Toc26895"/>
      <w:bookmarkStart w:id="54" w:name="_Toc950"/>
      <w:bookmarkStart w:id="55" w:name="_Toc17756"/>
      <w:bookmarkStart w:id="56" w:name="_Toc5728"/>
      <w:r>
        <w:rPr>
          <w:rFonts w:hint="eastAsia"/>
        </w:rPr>
        <w:t>苏州市住房和城乡建设局文件</w:t>
      </w:r>
      <w:bookmarkEnd w:id="51"/>
      <w:bookmarkEnd w:id="52"/>
      <w:bookmarkEnd w:id="53"/>
      <w:bookmarkEnd w:id="54"/>
      <w:bookmarkEnd w:id="55"/>
      <w:bookmarkEnd w:id="56"/>
    </w:p>
    <w:p>
      <w:pPr>
        <w:spacing w:line="500" w:lineRule="exact"/>
        <w:ind w:firstLine="560"/>
        <w:jc w:val="center"/>
        <w:rPr>
          <w:rFonts w:ascii="仿宋_GB2312"/>
        </w:rPr>
      </w:pPr>
    </w:p>
    <w:p>
      <w:pPr>
        <w:pStyle w:val="4"/>
      </w:pPr>
      <w:bookmarkStart w:id="57" w:name="_Toc19423"/>
      <w:bookmarkStart w:id="58" w:name="_Toc2245"/>
      <w:bookmarkStart w:id="59" w:name="_Toc13985"/>
      <w:bookmarkStart w:id="60" w:name="_Toc21631"/>
      <w:bookmarkStart w:id="61" w:name="_Toc3017"/>
      <w:bookmarkStart w:id="62" w:name="_Toc1434"/>
      <w:bookmarkStart w:id="63" w:name="_Toc19428"/>
      <w:bookmarkStart w:id="64" w:name="_Toc7471"/>
      <w:bookmarkStart w:id="65" w:name="_Toc3472"/>
      <w:bookmarkStart w:id="66" w:name="_Toc23649"/>
      <w:bookmarkStart w:id="67" w:name="_Toc27334"/>
      <w:bookmarkStart w:id="68" w:name="_Toc15204"/>
      <w:bookmarkStart w:id="69" w:name="_Toc9732"/>
      <w:r>
        <w:rPr>
          <w:rFonts w:hint="eastAsia"/>
        </w:rPr>
        <w:t>苏住建价〔2010〕14号</w:t>
      </w:r>
      <w:bookmarkEnd w:id="57"/>
      <w:bookmarkEnd w:id="58"/>
      <w:bookmarkEnd w:id="59"/>
      <w:bookmarkEnd w:id="60"/>
      <w:bookmarkEnd w:id="61"/>
      <w:bookmarkEnd w:id="62"/>
      <w:bookmarkEnd w:id="63"/>
      <w:bookmarkEnd w:id="64"/>
      <w:bookmarkEnd w:id="65"/>
      <w:bookmarkEnd w:id="66"/>
      <w:bookmarkEnd w:id="67"/>
      <w:bookmarkEnd w:id="68"/>
      <w:bookmarkEnd w:id="69"/>
    </w:p>
    <w:p>
      <w:pPr>
        <w:spacing w:line="440" w:lineRule="exact"/>
        <w:ind w:firstLine="460"/>
        <w:rPr>
          <w:rFonts w:ascii="ˎ̥" w:hAnsi="ˎ̥" w:cs="宋体"/>
          <w:color w:val="000000"/>
          <w:kern w:val="0"/>
          <w:sz w:val="23"/>
          <w:szCs w:val="23"/>
        </w:rPr>
      </w:pPr>
    </w:p>
    <w:p>
      <w:pPr>
        <w:ind w:firstLine="843"/>
        <w:jc w:val="center"/>
        <w:rPr>
          <w:rFonts w:ascii="宋体" w:hAnsi="宋体" w:eastAsia="宋体"/>
          <w:b/>
          <w:spacing w:val="-10"/>
          <w:sz w:val="44"/>
          <w:szCs w:val="44"/>
        </w:rPr>
      </w:pPr>
    </w:p>
    <w:p>
      <w:pPr>
        <w:pStyle w:val="3"/>
      </w:pPr>
      <w:bookmarkStart w:id="70" w:name="_Toc24781"/>
      <w:bookmarkStart w:id="71" w:name="_Toc290"/>
      <w:bookmarkStart w:id="72" w:name="_Toc8727"/>
      <w:bookmarkStart w:id="73" w:name="_Toc26512"/>
      <w:bookmarkStart w:id="74" w:name="_Toc31890"/>
      <w:bookmarkStart w:id="75" w:name="_Toc19599"/>
      <w:bookmarkStart w:id="76" w:name="_Toc17666"/>
      <w:bookmarkStart w:id="77" w:name="_Toc19928"/>
      <w:bookmarkStart w:id="78" w:name="_Toc22242"/>
      <w:bookmarkStart w:id="79" w:name="_Toc607"/>
      <w:bookmarkStart w:id="80" w:name="_Toc2423"/>
      <w:bookmarkStart w:id="81" w:name="_Toc2146"/>
      <w:bookmarkStart w:id="82" w:name="_Toc10429"/>
      <w:bookmarkStart w:id="83" w:name="_Toc25803"/>
      <w:r>
        <w:rPr>
          <w:rFonts w:hint="eastAsia"/>
        </w:rPr>
        <w:t>关于转发省住建厅《关于调整建筑、装饰、安装、市政、修缮加固、仿古建筑及园林工程预算工资单价的通知》的通知</w:t>
      </w:r>
      <w:bookmarkEnd w:id="70"/>
      <w:bookmarkEnd w:id="71"/>
      <w:bookmarkEnd w:id="72"/>
      <w:bookmarkEnd w:id="73"/>
      <w:bookmarkEnd w:id="74"/>
      <w:bookmarkEnd w:id="75"/>
      <w:bookmarkEnd w:id="76"/>
      <w:bookmarkEnd w:id="77"/>
      <w:bookmarkEnd w:id="78"/>
      <w:bookmarkEnd w:id="79"/>
      <w:bookmarkEnd w:id="80"/>
      <w:bookmarkEnd w:id="81"/>
      <w:bookmarkEnd w:id="82"/>
      <w:bookmarkEnd w:id="83"/>
    </w:p>
    <w:p>
      <w:pPr>
        <w:spacing w:line="440" w:lineRule="exact"/>
        <w:ind w:firstLine="460"/>
        <w:rPr>
          <w:rFonts w:ascii="ˎ̥" w:hAnsi="ˎ̥" w:cs="宋体"/>
          <w:color w:val="000000"/>
          <w:kern w:val="0"/>
          <w:sz w:val="23"/>
          <w:szCs w:val="23"/>
        </w:rPr>
      </w:pPr>
    </w:p>
    <w:p>
      <w:pPr>
        <w:spacing w:line="440" w:lineRule="exact"/>
        <w:ind w:firstLine="460"/>
        <w:rPr>
          <w:rFonts w:ascii="ˎ̥" w:hAnsi="ˎ̥" w:cs="宋体"/>
          <w:color w:val="000000"/>
          <w:kern w:val="0"/>
          <w:sz w:val="23"/>
          <w:szCs w:val="23"/>
        </w:rPr>
      </w:pPr>
    </w:p>
    <w:p>
      <w:pPr>
        <w:ind w:firstLine="0" w:firstLineChars="0"/>
      </w:pPr>
      <w:r>
        <w:rPr>
          <w:rFonts w:hint="eastAsia"/>
        </w:rPr>
        <w:t>各市、区住建局，苏州工业园区规划建设局、苏州高新区建设局，市各有关委、办、局：</w:t>
      </w:r>
    </w:p>
    <w:p>
      <w:pPr>
        <w:ind w:firstLine="560"/>
      </w:pPr>
      <w:r>
        <w:rPr>
          <w:rFonts w:hint="eastAsia"/>
        </w:rPr>
        <w:t>现将省住建厅《关于调整建筑、装饰、安装、市政、修缮加固、仿古建筑及园林工程预算工资单价的通知》（苏建价〔2010〕494号）转发给你们。预算工资单价调整属于政策性调整，承包人不应承担此风险，具体调整办法按照省住建厅规定执行。</w:t>
      </w:r>
    </w:p>
    <w:p>
      <w:pPr>
        <w:ind w:firstLine="560"/>
      </w:pPr>
    </w:p>
    <w:p>
      <w:pPr>
        <w:ind w:firstLine="560"/>
      </w:pPr>
      <w:r>
        <w:t> </w:t>
      </w:r>
      <w:r>
        <w:rPr>
          <w:rFonts w:hint="eastAsia"/>
        </w:rPr>
        <w:t>附件：《关于调整建筑、装饰、安装、市政、修缮加固、仿古建筑及园林工程预算工资单价的通知》（苏建价〔2010〕494号）</w:t>
      </w:r>
    </w:p>
    <w:p>
      <w:pPr>
        <w:ind w:firstLine="560"/>
      </w:pPr>
    </w:p>
    <w:p>
      <w:pPr>
        <w:ind w:firstLine="560"/>
        <w:jc w:val="right"/>
      </w:pPr>
      <w:r>
        <w:rPr>
          <w:rFonts w:hint="eastAsia"/>
        </w:rPr>
        <w:t xml:space="preserve">  二○一○年十月二十日</w:t>
      </w:r>
    </w:p>
    <w:p>
      <w:pPr>
        <w:ind w:firstLine="560"/>
      </w:pPr>
    </w:p>
    <w:p>
      <w:pPr>
        <w:pStyle w:val="2"/>
        <w:numPr>
          <w:ilvl w:val="0"/>
          <w:numId w:val="0"/>
        </w:numPr>
      </w:pPr>
    </w:p>
    <w:p>
      <w:pPr>
        <w:pStyle w:val="2"/>
        <w:numPr>
          <w:ilvl w:val="0"/>
          <w:numId w:val="0"/>
        </w:numPr>
      </w:pPr>
    </w:p>
    <w:p>
      <w:pPr>
        <w:spacing w:line="440" w:lineRule="exact"/>
        <w:ind w:firstLine="560"/>
        <w:rPr>
          <w:rFonts w:ascii="仿宋_GB2312" w:hAnsi="仿宋"/>
          <w:szCs w:val="32"/>
        </w:rPr>
      </w:pPr>
    </w:p>
    <w:p>
      <w:pPr>
        <w:spacing w:line="440" w:lineRule="exact"/>
        <w:ind w:firstLine="0" w:firstLineChars="0"/>
        <w:rPr>
          <w:rFonts w:ascii="仿宋_GB2312" w:hAnsi="仿宋"/>
          <w:szCs w:val="32"/>
        </w:rPr>
      </w:pPr>
      <w:r>
        <w:rPr>
          <w:rFonts w:hint="eastAsia" w:ascii="仿宋_GB2312" w:hAnsi="仿宋"/>
          <w:szCs w:val="32"/>
        </w:rPr>
        <w:t>附件：</w:t>
      </w:r>
    </w:p>
    <w:p>
      <w:pPr>
        <w:pStyle w:val="2"/>
        <w:numPr>
          <w:ilvl w:val="0"/>
          <w:numId w:val="0"/>
        </w:numPr>
        <w:ind w:left="420"/>
      </w:pPr>
    </w:p>
    <w:p>
      <w:pPr>
        <w:pStyle w:val="5"/>
      </w:pPr>
      <w:bookmarkStart w:id="84" w:name="_Toc26304"/>
      <w:bookmarkStart w:id="85" w:name="_Toc13124"/>
      <w:bookmarkStart w:id="86" w:name="_Toc2896"/>
      <w:bookmarkStart w:id="87" w:name="_Toc24806"/>
      <w:bookmarkStart w:id="88" w:name="_Toc24739"/>
      <w:bookmarkStart w:id="89" w:name="_Toc15770"/>
      <w:bookmarkStart w:id="90" w:name="_Toc16002"/>
      <w:bookmarkStart w:id="91" w:name="_Toc32350"/>
      <w:r>
        <w:rPr>
          <w:rFonts w:hint="eastAsia"/>
        </w:rPr>
        <w:t>江苏省住房和城乡建设厅文件</w:t>
      </w:r>
      <w:bookmarkEnd w:id="84"/>
      <w:bookmarkEnd w:id="85"/>
      <w:bookmarkEnd w:id="86"/>
      <w:bookmarkEnd w:id="87"/>
      <w:bookmarkEnd w:id="88"/>
      <w:bookmarkEnd w:id="89"/>
      <w:bookmarkEnd w:id="90"/>
      <w:bookmarkEnd w:id="91"/>
    </w:p>
    <w:p>
      <w:pPr>
        <w:ind w:firstLine="560"/>
      </w:pPr>
    </w:p>
    <w:p>
      <w:pPr>
        <w:pStyle w:val="4"/>
      </w:pPr>
      <w:bookmarkStart w:id="92" w:name="_Toc8794"/>
      <w:bookmarkStart w:id="93" w:name="_Toc10406"/>
      <w:bookmarkStart w:id="94" w:name="_Toc11903"/>
      <w:bookmarkStart w:id="95" w:name="_Toc27112"/>
      <w:bookmarkStart w:id="96" w:name="_Toc6691"/>
      <w:bookmarkStart w:id="97" w:name="_Toc2949"/>
      <w:bookmarkStart w:id="98" w:name="_Toc16030"/>
      <w:bookmarkStart w:id="99" w:name="_Toc5977"/>
      <w:bookmarkStart w:id="100" w:name="_Toc6894"/>
      <w:bookmarkStart w:id="101" w:name="_Toc17879"/>
      <w:bookmarkStart w:id="102" w:name="_Toc3636"/>
      <w:r>
        <w:t> </w:t>
      </w:r>
      <w:r>
        <w:rPr>
          <w:rFonts w:hint="eastAsia"/>
        </w:rPr>
        <w:t>苏建价〔</w:t>
      </w:r>
      <w:r>
        <w:t>2010</w:t>
      </w:r>
      <w:r>
        <w:rPr>
          <w:rFonts w:hint="eastAsia"/>
        </w:rPr>
        <w:t>〕</w:t>
      </w:r>
      <w:r>
        <w:t>494</w:t>
      </w:r>
      <w:r>
        <w:rPr>
          <w:rFonts w:hint="eastAsia"/>
        </w:rPr>
        <w:t>号</w:t>
      </w:r>
      <w:bookmarkEnd w:id="92"/>
      <w:bookmarkEnd w:id="93"/>
      <w:bookmarkEnd w:id="94"/>
      <w:bookmarkEnd w:id="95"/>
      <w:bookmarkEnd w:id="96"/>
      <w:bookmarkEnd w:id="97"/>
      <w:bookmarkEnd w:id="98"/>
      <w:bookmarkEnd w:id="99"/>
      <w:bookmarkEnd w:id="100"/>
      <w:bookmarkEnd w:id="101"/>
      <w:bookmarkEnd w:id="102"/>
    </w:p>
    <w:p>
      <w:pPr>
        <w:widowControl/>
        <w:spacing w:before="100" w:beforeAutospacing="1" w:after="100" w:afterAutospacing="1" w:line="420" w:lineRule="atLeast"/>
        <w:ind w:firstLine="460"/>
        <w:jc w:val="center"/>
        <w:rPr>
          <w:rFonts w:ascii="ˎ̥" w:hAnsi="ˎ̥" w:cs="宋体"/>
          <w:color w:val="000000"/>
          <w:kern w:val="0"/>
          <w:sz w:val="36"/>
          <w:szCs w:val="36"/>
        </w:rPr>
      </w:pPr>
      <w:r>
        <w:rPr>
          <w:rFonts w:ascii="ˎ̥" w:hAnsi="ˎ̥" w:cs="宋体"/>
          <w:color w:val="000000"/>
          <w:kern w:val="0"/>
          <w:sz w:val="23"/>
          <w:szCs w:val="23"/>
        </w:rPr>
        <w:t> </w:t>
      </w:r>
      <w:r>
        <w:rPr>
          <w:rFonts w:ascii="ˎ̥" w:hAnsi="ˎ̥" w:cs="宋体"/>
          <w:color w:val="000000"/>
          <w:kern w:val="0"/>
          <w:sz w:val="36"/>
          <w:szCs w:val="36"/>
        </w:rPr>
        <w:pict>
          <v:rect id="_x0000_i1025" o:spt="1" style="height:1.5pt;width:415.3pt;" fillcolor="#FF0000" filled="t" stroked="f" coordsize="21600,21600" o:hr="t" o:hrstd="t" o:hrnoshade="t" o:hralign="center">
            <v:path/>
            <v:fill on="t" focussize="0,0"/>
            <v:stroke on="f"/>
            <v:imagedata o:title=""/>
            <o:lock v:ext="edit"/>
            <w10:wrap type="none"/>
            <w10:anchorlock/>
          </v:rect>
        </w:pict>
      </w:r>
    </w:p>
    <w:p>
      <w:pPr>
        <w:spacing w:line="440" w:lineRule="exact"/>
        <w:ind w:firstLine="460"/>
        <w:rPr>
          <w:rFonts w:ascii="ˎ̥" w:hAnsi="ˎ̥" w:cs="宋体"/>
          <w:color w:val="000000"/>
          <w:kern w:val="0"/>
          <w:sz w:val="23"/>
          <w:szCs w:val="23"/>
        </w:rPr>
      </w:pPr>
    </w:p>
    <w:p>
      <w:pPr>
        <w:pStyle w:val="3"/>
      </w:pPr>
      <w:bookmarkStart w:id="103" w:name="_Toc5677"/>
      <w:bookmarkStart w:id="104" w:name="_Toc26824"/>
      <w:bookmarkStart w:id="105" w:name="_Toc12242"/>
      <w:bookmarkStart w:id="106" w:name="_Toc12693"/>
      <w:bookmarkStart w:id="107" w:name="_Toc28537"/>
      <w:bookmarkStart w:id="108" w:name="_Toc25602"/>
      <w:bookmarkStart w:id="109" w:name="_Toc3345"/>
      <w:bookmarkStart w:id="110" w:name="_Toc25480"/>
      <w:bookmarkStart w:id="111" w:name="_Toc10804"/>
      <w:bookmarkStart w:id="112" w:name="_Toc28179"/>
      <w:bookmarkStart w:id="113" w:name="_Toc4963"/>
      <w:bookmarkStart w:id="114" w:name="_Toc28475"/>
      <w:bookmarkStart w:id="115" w:name="_Toc23789"/>
      <w:bookmarkStart w:id="116" w:name="_Toc118"/>
      <w:r>
        <w:rPr>
          <w:rFonts w:hint="eastAsia"/>
        </w:rPr>
        <w:t>关于调整建筑、装饰、安装、市政、修缮加固、</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pPr>
        <w:pStyle w:val="3"/>
      </w:pPr>
      <w:bookmarkStart w:id="117" w:name="_Toc17747"/>
      <w:bookmarkStart w:id="118" w:name="_Toc8835"/>
      <w:bookmarkStart w:id="119" w:name="_Toc18895"/>
      <w:bookmarkStart w:id="120" w:name="_Toc4829"/>
      <w:bookmarkStart w:id="121" w:name="_Toc31705"/>
      <w:bookmarkStart w:id="122" w:name="_Toc24573"/>
      <w:bookmarkStart w:id="123" w:name="_Toc27519"/>
      <w:bookmarkStart w:id="124" w:name="_Toc18542"/>
      <w:bookmarkStart w:id="125" w:name="_Toc32"/>
      <w:bookmarkStart w:id="126" w:name="_Toc27634"/>
      <w:bookmarkStart w:id="127" w:name="_Toc25405"/>
      <w:bookmarkStart w:id="128" w:name="_Toc30001"/>
      <w:bookmarkStart w:id="129" w:name="_Toc31244"/>
      <w:bookmarkStart w:id="130" w:name="_Toc5026"/>
      <w:r>
        <w:rPr>
          <w:rFonts w:hint="eastAsia"/>
        </w:rPr>
        <w:t>仿古建筑及园林工程预算工资单价的通知</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pPr>
        <w:widowControl/>
        <w:spacing w:before="100" w:beforeAutospacing="1" w:after="100" w:afterAutospacing="1" w:line="420" w:lineRule="atLeast"/>
        <w:ind w:firstLine="460"/>
        <w:jc w:val="center"/>
        <w:rPr>
          <w:rFonts w:ascii="ˎ̥" w:hAnsi="ˎ̥" w:cs="宋体"/>
          <w:color w:val="000000"/>
          <w:kern w:val="0"/>
          <w:sz w:val="23"/>
          <w:szCs w:val="23"/>
        </w:rPr>
      </w:pPr>
      <w:r>
        <w:rPr>
          <w:rFonts w:ascii="ˎ̥" w:hAnsi="ˎ̥" w:cs="宋体"/>
          <w:color w:val="000000"/>
          <w:kern w:val="0"/>
          <w:sz w:val="23"/>
          <w:szCs w:val="23"/>
        </w:rPr>
        <w:t> </w:t>
      </w:r>
    </w:p>
    <w:p>
      <w:pPr>
        <w:ind w:firstLine="0" w:firstLineChars="0"/>
      </w:pPr>
      <w:r>
        <w:rPr>
          <w:rFonts w:hint="eastAsia"/>
        </w:rPr>
        <w:t>各省辖市建设局（建委）：</w:t>
      </w:r>
    </w:p>
    <w:p>
      <w:pPr>
        <w:ind w:firstLine="560"/>
      </w:pPr>
      <w:r>
        <w:rPr>
          <w:rFonts w:hint="eastAsia"/>
        </w:rPr>
        <w:t>为促进建设市场健康有序发展，合理确定和提高建筑业人工工资水平，经研究决定，调整我省建筑、装饰、安装、市政、修缮加固、仿古建筑及园林工程的预算工资单价标准。具体调整办法通知如下：</w:t>
      </w:r>
    </w:p>
    <w:p>
      <w:pPr>
        <w:ind w:firstLine="562"/>
        <w:outlineLvl w:val="1"/>
        <w:rPr>
          <w:b/>
          <w:bCs/>
        </w:rPr>
      </w:pPr>
      <w:bookmarkStart w:id="131" w:name="_Toc27811"/>
      <w:bookmarkStart w:id="132" w:name="_Toc7562"/>
      <w:bookmarkStart w:id="133" w:name="_Toc20968"/>
      <w:bookmarkStart w:id="134" w:name="_Toc6596"/>
      <w:bookmarkStart w:id="135" w:name="_Toc14609"/>
      <w:bookmarkStart w:id="136" w:name="_Toc16428"/>
      <w:bookmarkStart w:id="137" w:name="_Toc32308"/>
      <w:bookmarkStart w:id="138" w:name="_Toc31717"/>
      <w:bookmarkStart w:id="139" w:name="_Toc19397"/>
      <w:bookmarkStart w:id="140" w:name="_Toc24704"/>
      <w:r>
        <w:rPr>
          <w:rFonts w:hint="eastAsia"/>
          <w:b/>
          <w:bCs/>
        </w:rPr>
        <w:t>一、调整标准</w:t>
      </w:r>
      <w:bookmarkEnd w:id="131"/>
      <w:bookmarkEnd w:id="132"/>
      <w:bookmarkEnd w:id="133"/>
      <w:bookmarkEnd w:id="134"/>
      <w:bookmarkEnd w:id="135"/>
      <w:bookmarkEnd w:id="136"/>
      <w:bookmarkEnd w:id="137"/>
      <w:bookmarkEnd w:id="138"/>
      <w:bookmarkEnd w:id="139"/>
      <w:bookmarkEnd w:id="140"/>
    </w:p>
    <w:p>
      <w:pPr>
        <w:ind w:firstLine="560"/>
      </w:pPr>
      <w:r>
        <w:t>1</w:t>
      </w:r>
      <w:r>
        <w:rPr>
          <w:rFonts w:hint="eastAsia"/>
        </w:rPr>
        <w:t>、包工包料工程调整为以下标准：</w:t>
      </w:r>
    </w:p>
    <w:p>
      <w:pPr>
        <w:ind w:firstLine="560"/>
      </w:pPr>
      <w:r>
        <w:rPr>
          <w:rFonts w:hint="eastAsia"/>
        </w:rPr>
        <w:t>建筑、安装、市政工程：一类工</w:t>
      </w:r>
      <w:r>
        <w:t>56</w:t>
      </w:r>
      <w:r>
        <w:rPr>
          <w:rFonts w:hint="eastAsia"/>
        </w:rPr>
        <w:t>元</w:t>
      </w:r>
      <w:r>
        <w:t>/</w:t>
      </w:r>
      <w:r>
        <w:rPr>
          <w:rFonts w:hint="eastAsia"/>
        </w:rPr>
        <w:t>工日，二类工</w:t>
      </w:r>
      <w:r>
        <w:t>53</w:t>
      </w:r>
      <w:r>
        <w:rPr>
          <w:rFonts w:hint="eastAsia"/>
        </w:rPr>
        <w:t>元</w:t>
      </w:r>
      <w:r>
        <w:t>/</w:t>
      </w:r>
      <w:r>
        <w:rPr>
          <w:rFonts w:hint="eastAsia"/>
        </w:rPr>
        <w:t>工日，三类工</w:t>
      </w:r>
      <w:r>
        <w:t>50</w:t>
      </w:r>
      <w:r>
        <w:rPr>
          <w:rFonts w:hint="eastAsia"/>
        </w:rPr>
        <w:t>元</w:t>
      </w:r>
      <w:r>
        <w:t>/</w:t>
      </w:r>
      <w:r>
        <w:rPr>
          <w:rFonts w:hint="eastAsia"/>
        </w:rPr>
        <w:t>工日；单独装饰工程：</w:t>
      </w:r>
      <w:r>
        <w:t>61</w:t>
      </w:r>
      <w:r>
        <w:rPr>
          <w:rFonts w:hint="eastAsia"/>
        </w:rPr>
        <w:t>～</w:t>
      </w:r>
      <w:r>
        <w:t>78</w:t>
      </w:r>
      <w:r>
        <w:rPr>
          <w:rFonts w:hint="eastAsia"/>
        </w:rPr>
        <w:t>元</w:t>
      </w:r>
      <w:r>
        <w:t>/</w:t>
      </w:r>
      <w:r>
        <w:rPr>
          <w:rFonts w:hint="eastAsia"/>
        </w:rPr>
        <w:t>工日；修缮加固工程：</w:t>
      </w:r>
      <w:r>
        <w:t>53</w:t>
      </w:r>
      <w:r>
        <w:rPr>
          <w:rFonts w:hint="eastAsia"/>
        </w:rPr>
        <w:t>元</w:t>
      </w:r>
      <w:r>
        <w:t>/</w:t>
      </w:r>
      <w:r>
        <w:rPr>
          <w:rFonts w:hint="eastAsia"/>
        </w:rPr>
        <w:t>工日；仿古建筑及园林工程：执行</w:t>
      </w:r>
      <w:r>
        <w:t>07</w:t>
      </w:r>
      <w:r>
        <w:rPr>
          <w:rFonts w:hint="eastAsia"/>
        </w:rPr>
        <w:t>版《江苏省仿古建筑与园林工程计价表》第一册</w:t>
      </w:r>
      <w:r>
        <w:t>53</w:t>
      </w:r>
      <w:r>
        <w:rPr>
          <w:rFonts w:hint="eastAsia"/>
        </w:rPr>
        <w:t>元</w:t>
      </w:r>
      <w:r>
        <w:t>/</w:t>
      </w:r>
      <w:r>
        <w:rPr>
          <w:rFonts w:hint="eastAsia"/>
        </w:rPr>
        <w:t>工日，第二册</w:t>
      </w:r>
      <w:r>
        <w:t>60</w:t>
      </w:r>
      <w:r>
        <w:rPr>
          <w:rFonts w:hint="eastAsia"/>
        </w:rPr>
        <w:t>元</w:t>
      </w:r>
      <w:r>
        <w:t>/</w:t>
      </w:r>
      <w:r>
        <w:rPr>
          <w:rFonts w:hint="eastAsia"/>
        </w:rPr>
        <w:t>工日，第三册</w:t>
      </w:r>
      <w:r>
        <w:t>50</w:t>
      </w:r>
      <w:r>
        <w:rPr>
          <w:rFonts w:hint="eastAsia"/>
        </w:rPr>
        <w:t>元</w:t>
      </w:r>
      <w:r>
        <w:t>/</w:t>
      </w:r>
      <w:r>
        <w:rPr>
          <w:rFonts w:hint="eastAsia"/>
        </w:rPr>
        <w:t>工日。</w:t>
      </w:r>
    </w:p>
    <w:p>
      <w:pPr>
        <w:ind w:firstLine="560"/>
      </w:pPr>
      <w:r>
        <w:t>2</w:t>
      </w:r>
      <w:r>
        <w:rPr>
          <w:rFonts w:hint="eastAsia"/>
        </w:rPr>
        <w:t>、包工不包料工程调整为以下标准：</w:t>
      </w:r>
    </w:p>
    <w:p>
      <w:pPr>
        <w:ind w:firstLine="560"/>
      </w:pPr>
      <w:r>
        <w:rPr>
          <w:rFonts w:hint="eastAsia"/>
        </w:rPr>
        <w:t>除单独装饰工程</w:t>
      </w:r>
      <w:r>
        <w:t>78</w:t>
      </w:r>
      <w:r>
        <w:rPr>
          <w:rFonts w:hint="eastAsia"/>
        </w:rPr>
        <w:t>～</w:t>
      </w:r>
      <w:r>
        <w:t>96</w:t>
      </w:r>
      <w:r>
        <w:rPr>
          <w:rFonts w:hint="eastAsia"/>
        </w:rPr>
        <w:t>元</w:t>
      </w:r>
      <w:r>
        <w:t>/</w:t>
      </w:r>
      <w:r>
        <w:rPr>
          <w:rFonts w:hint="eastAsia"/>
        </w:rPr>
        <w:t>工日、执行</w:t>
      </w:r>
      <w:r>
        <w:t>07</w:t>
      </w:r>
      <w:r>
        <w:rPr>
          <w:rFonts w:hint="eastAsia"/>
        </w:rPr>
        <w:t>版《江苏省仿古建筑与园林工程计价表》第二册</w:t>
      </w:r>
      <w:r>
        <w:t>77</w:t>
      </w:r>
      <w:r>
        <w:rPr>
          <w:rFonts w:hint="eastAsia"/>
        </w:rPr>
        <w:t>元</w:t>
      </w:r>
      <w:r>
        <w:t>/</w:t>
      </w:r>
      <w:r>
        <w:rPr>
          <w:rFonts w:hint="eastAsia"/>
        </w:rPr>
        <w:t>工日，其余工程</w:t>
      </w:r>
      <w:r>
        <w:t>70</w:t>
      </w:r>
      <w:r>
        <w:rPr>
          <w:rFonts w:hint="eastAsia"/>
        </w:rPr>
        <w:t>元</w:t>
      </w:r>
      <w:r>
        <w:t>/</w:t>
      </w:r>
      <w:r>
        <w:rPr>
          <w:rFonts w:hint="eastAsia"/>
        </w:rPr>
        <w:t>工日。</w:t>
      </w:r>
    </w:p>
    <w:p>
      <w:pPr>
        <w:ind w:firstLine="560"/>
      </w:pPr>
      <w:r>
        <w:t>3</w:t>
      </w:r>
      <w:r>
        <w:rPr>
          <w:rFonts w:hint="eastAsia"/>
        </w:rPr>
        <w:t>、点工调整为以下标准：</w:t>
      </w:r>
    </w:p>
    <w:p>
      <w:pPr>
        <w:ind w:firstLine="560"/>
      </w:pPr>
      <w:r>
        <w:rPr>
          <w:rFonts w:hint="eastAsia"/>
        </w:rPr>
        <w:t>除单独装饰工程</w:t>
      </w:r>
      <w:r>
        <w:t>67</w:t>
      </w:r>
      <w:r>
        <w:rPr>
          <w:rFonts w:hint="eastAsia"/>
        </w:rPr>
        <w:t>元</w:t>
      </w:r>
      <w:r>
        <w:t>/</w:t>
      </w:r>
      <w:r>
        <w:rPr>
          <w:rFonts w:hint="eastAsia"/>
        </w:rPr>
        <w:t>工日、执行</w:t>
      </w:r>
      <w:r>
        <w:t>07</w:t>
      </w:r>
      <w:r>
        <w:rPr>
          <w:rFonts w:hint="eastAsia"/>
        </w:rPr>
        <w:t>版《江苏省仿古建筑与园林工程计价表》第二册</w:t>
      </w:r>
      <w:r>
        <w:t>63</w:t>
      </w:r>
      <w:r>
        <w:rPr>
          <w:rFonts w:hint="eastAsia"/>
        </w:rPr>
        <w:t>元</w:t>
      </w:r>
      <w:r>
        <w:t>/</w:t>
      </w:r>
      <w:r>
        <w:rPr>
          <w:rFonts w:hint="eastAsia"/>
        </w:rPr>
        <w:t>工日外，其余工程</w:t>
      </w:r>
      <w:r>
        <w:t>58</w:t>
      </w:r>
      <w:r>
        <w:rPr>
          <w:rFonts w:hint="eastAsia"/>
        </w:rPr>
        <w:t>元</w:t>
      </w:r>
      <w:r>
        <w:t>/</w:t>
      </w:r>
      <w:r>
        <w:rPr>
          <w:rFonts w:hint="eastAsia"/>
        </w:rPr>
        <w:t>工日。</w:t>
      </w:r>
    </w:p>
    <w:p>
      <w:pPr>
        <w:ind w:firstLine="560"/>
      </w:pPr>
      <w:r>
        <w:t>4</w:t>
      </w:r>
      <w:r>
        <w:rPr>
          <w:rFonts w:hint="eastAsia"/>
        </w:rPr>
        <w:t>、机械台班定额中的预算工资单价按照</w:t>
      </w:r>
      <w:r>
        <w:t>53</w:t>
      </w:r>
      <w:r>
        <w:rPr>
          <w:rFonts w:hint="eastAsia"/>
        </w:rPr>
        <w:t>元</w:t>
      </w:r>
      <w:r>
        <w:t>/</w:t>
      </w:r>
      <w:r>
        <w:rPr>
          <w:rFonts w:hint="eastAsia"/>
        </w:rPr>
        <w:t>工日执行。</w:t>
      </w:r>
    </w:p>
    <w:p>
      <w:pPr>
        <w:ind w:firstLine="562"/>
        <w:outlineLvl w:val="1"/>
        <w:rPr>
          <w:b/>
          <w:bCs/>
        </w:rPr>
      </w:pPr>
      <w:bookmarkStart w:id="141" w:name="_Toc8570"/>
      <w:bookmarkStart w:id="142" w:name="_Toc6729"/>
      <w:bookmarkStart w:id="143" w:name="_Toc21779"/>
      <w:bookmarkStart w:id="144" w:name="_Toc29178"/>
      <w:bookmarkStart w:id="145" w:name="_Toc31536"/>
      <w:bookmarkStart w:id="146" w:name="_Toc8041"/>
      <w:bookmarkStart w:id="147" w:name="_Toc22744"/>
      <w:bookmarkStart w:id="148" w:name="_Toc14016"/>
      <w:bookmarkStart w:id="149" w:name="_Toc15079"/>
      <w:bookmarkStart w:id="150" w:name="_Toc11286"/>
      <w:r>
        <w:rPr>
          <w:rFonts w:hint="eastAsia"/>
          <w:b/>
          <w:bCs/>
        </w:rPr>
        <w:t>二、调整办法</w:t>
      </w:r>
      <w:bookmarkEnd w:id="141"/>
      <w:bookmarkEnd w:id="142"/>
      <w:bookmarkEnd w:id="143"/>
      <w:bookmarkEnd w:id="144"/>
      <w:bookmarkEnd w:id="145"/>
      <w:bookmarkEnd w:id="146"/>
      <w:bookmarkEnd w:id="147"/>
      <w:bookmarkEnd w:id="148"/>
      <w:bookmarkEnd w:id="149"/>
      <w:bookmarkEnd w:id="150"/>
    </w:p>
    <w:p>
      <w:pPr>
        <w:ind w:firstLine="560"/>
      </w:pPr>
      <w:r>
        <w:t>1</w:t>
      </w:r>
      <w:r>
        <w:rPr>
          <w:rFonts w:hint="eastAsia"/>
        </w:rPr>
        <w:t>、编制投资估算、设计概算时，按本通知规定的相应工程标准执行。</w:t>
      </w:r>
    </w:p>
    <w:p>
      <w:pPr>
        <w:ind w:firstLine="560"/>
      </w:pPr>
      <w:r>
        <w:t>2</w:t>
      </w:r>
      <w:r>
        <w:rPr>
          <w:rFonts w:hint="eastAsia"/>
        </w:rPr>
        <w:t>、招投标工程编制标底、招标控制价和依法不招标工程编制预算的工资单价确定，均按本通知规定标准执行。</w:t>
      </w:r>
    </w:p>
    <w:p>
      <w:pPr>
        <w:ind w:firstLine="560"/>
      </w:pPr>
      <w:r>
        <w:t>3</w:t>
      </w:r>
      <w:r>
        <w:rPr>
          <w:rFonts w:hint="eastAsia"/>
        </w:rPr>
        <w:t>、本通知规定的工资标准调整适用于固定总价合同、固定单价合同和可调价合同。</w:t>
      </w:r>
    </w:p>
    <w:p>
      <w:pPr>
        <w:ind w:firstLine="560"/>
      </w:pPr>
      <w:r>
        <w:t>4</w:t>
      </w:r>
      <w:r>
        <w:rPr>
          <w:rFonts w:hint="eastAsia"/>
        </w:rPr>
        <w:t>、本通知规定的预算工资单价标准，按照费用定额（计算规则）规定，应计入基价，作为取费基础。</w:t>
      </w:r>
    </w:p>
    <w:p>
      <w:pPr>
        <w:ind w:firstLine="562"/>
        <w:outlineLvl w:val="1"/>
        <w:rPr>
          <w:b/>
          <w:bCs/>
        </w:rPr>
      </w:pPr>
      <w:bookmarkStart w:id="151" w:name="_Toc8439"/>
      <w:bookmarkStart w:id="152" w:name="_Toc1992"/>
      <w:bookmarkStart w:id="153" w:name="_Toc12336"/>
      <w:bookmarkStart w:id="154" w:name="_Toc29611"/>
      <w:bookmarkStart w:id="155" w:name="_Toc29559"/>
      <w:bookmarkStart w:id="156" w:name="_Toc13893"/>
      <w:bookmarkStart w:id="157" w:name="_Toc29122"/>
      <w:bookmarkStart w:id="158" w:name="_Toc8918"/>
      <w:bookmarkStart w:id="159" w:name="_Toc27497"/>
      <w:bookmarkStart w:id="160" w:name="_Toc4669"/>
      <w:r>
        <w:rPr>
          <w:rFonts w:hint="eastAsia"/>
          <w:b/>
          <w:bCs/>
        </w:rPr>
        <w:t>三、执行时间</w:t>
      </w:r>
      <w:bookmarkEnd w:id="151"/>
      <w:bookmarkEnd w:id="152"/>
      <w:bookmarkEnd w:id="153"/>
      <w:bookmarkEnd w:id="154"/>
      <w:bookmarkEnd w:id="155"/>
      <w:bookmarkEnd w:id="156"/>
      <w:bookmarkEnd w:id="157"/>
      <w:bookmarkEnd w:id="158"/>
      <w:bookmarkEnd w:id="159"/>
      <w:bookmarkEnd w:id="160"/>
    </w:p>
    <w:p>
      <w:pPr>
        <w:ind w:firstLine="560"/>
      </w:pPr>
      <w:r>
        <w:rPr>
          <w:rFonts w:hint="eastAsia"/>
        </w:rPr>
        <w:t>本通知中的预算工资单价标准自</w:t>
      </w:r>
      <w:r>
        <w:t>2010</w:t>
      </w:r>
      <w:r>
        <w:rPr>
          <w:rFonts w:hint="eastAsia"/>
        </w:rPr>
        <w:t>年</w:t>
      </w:r>
      <w:r>
        <w:t>11</w:t>
      </w:r>
      <w:r>
        <w:rPr>
          <w:rFonts w:hint="eastAsia"/>
        </w:rPr>
        <w:t>月</w:t>
      </w:r>
      <w:r>
        <w:t>1</w:t>
      </w:r>
      <w:r>
        <w:rPr>
          <w:rFonts w:hint="eastAsia"/>
        </w:rPr>
        <w:t>日起执行。在此之前签订施工合同的在建工程按合同约定执行；合同中未约定人工工资调价方法或未规定国家政策性调整不调整的工程，</w:t>
      </w:r>
      <w:r>
        <w:t>2010</w:t>
      </w:r>
      <w:r>
        <w:rPr>
          <w:rFonts w:hint="eastAsia"/>
        </w:rPr>
        <w:t>年</w:t>
      </w:r>
      <w:r>
        <w:t>11</w:t>
      </w:r>
      <w:r>
        <w:rPr>
          <w:rFonts w:hint="eastAsia"/>
        </w:rPr>
        <w:t>月</w:t>
      </w:r>
      <w:r>
        <w:t>1</w:t>
      </w:r>
      <w:r>
        <w:rPr>
          <w:rFonts w:hint="eastAsia"/>
        </w:rPr>
        <w:t>日之后完成的工程量部分按本通知中的标准执行；投标报价或签订施工合同时人工工资单价有让利的工程，在执行新工资标准时，应同比让利。</w:t>
      </w:r>
    </w:p>
    <w:p>
      <w:pPr>
        <w:ind w:firstLine="560"/>
      </w:pPr>
    </w:p>
    <w:p>
      <w:pPr>
        <w:ind w:firstLine="560"/>
      </w:pPr>
    </w:p>
    <w:p>
      <w:pPr>
        <w:ind w:firstLine="560"/>
      </w:pPr>
      <w:r>
        <w:t>                      </w:t>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t>   </w:t>
      </w:r>
      <w:r>
        <w:rPr>
          <w:rFonts w:hint="eastAsia"/>
        </w:rPr>
        <w:t>二○一○年十月十二日</w:t>
      </w:r>
    </w:p>
    <w:p>
      <w:pPr>
        <w:widowControl/>
        <w:ind w:firstLine="560"/>
        <w:jc w:val="left"/>
      </w:pPr>
      <w:r>
        <w:br w:type="page"/>
      </w:r>
    </w:p>
    <w:p>
      <w:pPr>
        <w:pStyle w:val="5"/>
      </w:pPr>
      <w:bookmarkStart w:id="161" w:name="_Toc16922"/>
      <w:bookmarkStart w:id="162" w:name="_Toc30141"/>
      <w:bookmarkStart w:id="163" w:name="_Toc8811"/>
      <w:bookmarkStart w:id="164" w:name="_Toc699"/>
      <w:bookmarkStart w:id="165" w:name="_Toc14106"/>
      <w:bookmarkStart w:id="166" w:name="_Toc25248"/>
      <w:bookmarkStart w:id="167" w:name="_Toc32076"/>
      <w:bookmarkStart w:id="168" w:name="_Toc9015"/>
      <w:r>
        <w:rPr>
          <w:rFonts w:hint="eastAsia"/>
        </w:rPr>
        <w:t>苏州市住房和城乡建设局文件</w:t>
      </w:r>
      <w:bookmarkEnd w:id="161"/>
      <w:bookmarkEnd w:id="162"/>
      <w:bookmarkEnd w:id="163"/>
      <w:bookmarkEnd w:id="164"/>
      <w:bookmarkEnd w:id="165"/>
      <w:bookmarkEnd w:id="166"/>
      <w:bookmarkEnd w:id="167"/>
      <w:bookmarkEnd w:id="168"/>
    </w:p>
    <w:p>
      <w:pPr>
        <w:pStyle w:val="5"/>
      </w:pPr>
    </w:p>
    <w:p>
      <w:pPr>
        <w:pStyle w:val="4"/>
      </w:pPr>
      <w:bookmarkStart w:id="169" w:name="_Toc19963"/>
      <w:bookmarkStart w:id="170" w:name="_Toc24389"/>
      <w:bookmarkStart w:id="171" w:name="_Toc6806"/>
      <w:bookmarkStart w:id="172" w:name="_Toc23016"/>
      <w:bookmarkStart w:id="173" w:name="_Toc7198"/>
      <w:bookmarkStart w:id="174" w:name="_Toc23210"/>
      <w:bookmarkStart w:id="175" w:name="_Toc27189"/>
      <w:bookmarkStart w:id="176" w:name="_Toc1632"/>
      <w:bookmarkStart w:id="177" w:name="_Toc27264"/>
      <w:bookmarkStart w:id="178" w:name="_Toc11494"/>
      <w:bookmarkStart w:id="179" w:name="_Toc8498"/>
      <w:r>
        <w:rPr>
          <w:rFonts w:hint="eastAsia"/>
        </w:rPr>
        <w:t>苏住建价〔2011〕3号</w:t>
      </w:r>
      <w:bookmarkEnd w:id="169"/>
      <w:bookmarkEnd w:id="170"/>
      <w:bookmarkEnd w:id="171"/>
      <w:bookmarkEnd w:id="172"/>
      <w:bookmarkEnd w:id="173"/>
      <w:bookmarkEnd w:id="174"/>
      <w:bookmarkEnd w:id="175"/>
      <w:bookmarkEnd w:id="176"/>
      <w:bookmarkEnd w:id="177"/>
      <w:bookmarkEnd w:id="178"/>
      <w:bookmarkEnd w:id="179"/>
    </w:p>
    <w:p>
      <w:pPr>
        <w:widowControl/>
        <w:spacing w:before="100" w:beforeAutospacing="1" w:after="100" w:afterAutospacing="1" w:line="480" w:lineRule="exact"/>
        <w:ind w:firstLine="883"/>
        <w:jc w:val="center"/>
        <w:rPr>
          <w:rFonts w:ascii="宋体" w:hAnsi="宋体" w:cs="宋体"/>
          <w:b/>
          <w:color w:val="000000"/>
          <w:kern w:val="0"/>
          <w:sz w:val="44"/>
          <w:szCs w:val="44"/>
        </w:rPr>
      </w:pPr>
    </w:p>
    <w:p>
      <w:pPr>
        <w:pStyle w:val="3"/>
      </w:pPr>
      <w:bookmarkStart w:id="180" w:name="_Toc20908"/>
      <w:bookmarkStart w:id="181" w:name="_Toc26222"/>
      <w:bookmarkStart w:id="182" w:name="_Toc17328"/>
      <w:bookmarkStart w:id="183" w:name="_Toc3130"/>
      <w:bookmarkStart w:id="184" w:name="_Toc24892"/>
      <w:bookmarkStart w:id="185" w:name="_Toc25504"/>
      <w:bookmarkStart w:id="186" w:name="_Toc11541"/>
      <w:bookmarkStart w:id="187" w:name="_Toc11376"/>
      <w:bookmarkStart w:id="188" w:name="_Toc8771"/>
      <w:bookmarkStart w:id="189" w:name="_Toc14376"/>
      <w:bookmarkStart w:id="190" w:name="_Toc15320"/>
      <w:bookmarkStart w:id="191" w:name="_Toc26814"/>
      <w:bookmarkStart w:id="192" w:name="_Toc25796"/>
      <w:bookmarkStart w:id="193" w:name="_Toc19785"/>
      <w:r>
        <w:rPr>
          <w:rFonts w:hint="eastAsia"/>
        </w:rPr>
        <w:t>关于转发省住建厅《关于印发〈江苏省工程</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pPr>
        <w:pStyle w:val="3"/>
      </w:pPr>
      <w:bookmarkStart w:id="194" w:name="_Toc6309"/>
      <w:bookmarkStart w:id="195" w:name="_Toc6203"/>
      <w:bookmarkStart w:id="196" w:name="_Toc11446"/>
      <w:bookmarkStart w:id="197" w:name="_Toc26094"/>
      <w:bookmarkStart w:id="198" w:name="_Toc67"/>
      <w:bookmarkStart w:id="199" w:name="_Toc2265"/>
      <w:bookmarkStart w:id="200" w:name="_Toc21651"/>
      <w:bookmarkStart w:id="201" w:name="_Toc32579"/>
      <w:bookmarkStart w:id="202" w:name="_Toc31796"/>
      <w:bookmarkStart w:id="203" w:name="_Toc14492"/>
      <w:bookmarkStart w:id="204" w:name="_Toc17728"/>
      <w:bookmarkStart w:id="205" w:name="_Toc31002"/>
      <w:bookmarkStart w:id="206" w:name="_Toc2383"/>
      <w:bookmarkStart w:id="207" w:name="_Toc27579"/>
      <w:r>
        <w:rPr>
          <w:rFonts w:hint="eastAsia"/>
        </w:rPr>
        <w:t>造价从业人员信用管理办法〉的通知》的通知</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pPr>
        <w:spacing w:line="440" w:lineRule="exact"/>
        <w:ind w:firstLine="560"/>
        <w:rPr>
          <w:rFonts w:ascii="仿宋_GB2312" w:hAnsi="仿宋"/>
          <w:szCs w:val="32"/>
        </w:rPr>
      </w:pPr>
    </w:p>
    <w:p>
      <w:pPr>
        <w:ind w:firstLine="560"/>
      </w:pPr>
    </w:p>
    <w:p>
      <w:pPr>
        <w:ind w:firstLine="0" w:firstLineChars="0"/>
      </w:pPr>
      <w:r>
        <w:rPr>
          <w:rFonts w:hint="eastAsia"/>
        </w:rPr>
        <w:t>各市、区住房和城乡建设局，苏州工业园区规划建设局、苏州高新区建设局，各有关单位：</w:t>
      </w:r>
    </w:p>
    <w:p>
      <w:pPr>
        <w:ind w:firstLine="560"/>
      </w:pPr>
      <w:r>
        <w:rPr>
          <w:rFonts w:hint="eastAsia"/>
        </w:rPr>
        <w:t>现将省住房与城乡建设厅《关于印发&lt;江苏省工程造价从业人员信用管理办法&gt;的通知》（苏建规字〔2010〕4号）转发给你们，请认真贯彻执行。</w:t>
      </w:r>
    </w:p>
    <w:p>
      <w:pPr>
        <w:ind w:firstLine="560"/>
      </w:pPr>
      <w:r>
        <w:rPr>
          <w:rFonts w:hint="eastAsia"/>
        </w:rPr>
        <w:t>特此通知</w:t>
      </w:r>
    </w:p>
    <w:p>
      <w:pPr>
        <w:ind w:firstLine="560"/>
      </w:pPr>
    </w:p>
    <w:p>
      <w:pPr>
        <w:ind w:firstLine="560"/>
      </w:pPr>
      <w:r>
        <w:rPr>
          <w:rFonts w:hint="eastAsia"/>
        </w:rPr>
        <w:t>附件：关于印发《江苏省工程造价从业人员信用管理办法》的通知</w:t>
      </w:r>
    </w:p>
    <w:p>
      <w:pPr>
        <w:ind w:firstLine="560"/>
      </w:pPr>
    </w:p>
    <w:p>
      <w:pPr>
        <w:ind w:firstLine="560"/>
      </w:pPr>
    </w:p>
    <w:p>
      <w:pPr>
        <w:ind w:firstLine="4928" w:firstLineChars="1760"/>
      </w:pPr>
      <w:r>
        <w:rPr>
          <w:rFonts w:hint="eastAsia"/>
        </w:rPr>
        <w:t>二○一一年一月十二日</w:t>
      </w:r>
    </w:p>
    <w:p>
      <w:pPr>
        <w:spacing w:line="360" w:lineRule="exact"/>
        <w:ind w:firstLine="576"/>
        <w:rPr>
          <w:rFonts w:ascii="仿宋_GB2312"/>
          <w:spacing w:val="4"/>
          <w:szCs w:val="32"/>
        </w:rPr>
      </w:pPr>
    </w:p>
    <w:p>
      <w:pPr>
        <w:widowControl/>
        <w:spacing w:before="120" w:beforeLines="50" w:after="100" w:afterAutospacing="1" w:line="420" w:lineRule="atLeast"/>
        <w:ind w:firstLine="960"/>
        <w:jc w:val="distribute"/>
        <w:rPr>
          <w:rFonts w:hAnsi="宋体" w:cs="宋体"/>
          <w:color w:val="FF0000"/>
          <w:kern w:val="0"/>
          <w:sz w:val="48"/>
          <w:szCs w:val="48"/>
        </w:rPr>
      </w:pPr>
    </w:p>
    <w:p>
      <w:pPr>
        <w:widowControl/>
        <w:spacing w:before="120" w:beforeLines="50" w:after="100" w:afterAutospacing="1" w:line="420" w:lineRule="atLeast"/>
        <w:ind w:firstLine="960"/>
        <w:jc w:val="distribute"/>
        <w:rPr>
          <w:rFonts w:hAnsi="宋体" w:cs="宋体"/>
          <w:color w:val="FF0000"/>
          <w:kern w:val="0"/>
          <w:sz w:val="48"/>
          <w:szCs w:val="48"/>
        </w:rPr>
      </w:pPr>
    </w:p>
    <w:p>
      <w:pPr>
        <w:spacing w:line="360" w:lineRule="exact"/>
        <w:ind w:firstLine="0" w:firstLineChars="0"/>
        <w:rPr>
          <w:rFonts w:ascii="仿宋_GB2312"/>
          <w:spacing w:val="4"/>
          <w:szCs w:val="32"/>
        </w:rPr>
      </w:pPr>
      <w:r>
        <w:rPr>
          <w:rFonts w:hint="eastAsia" w:ascii="仿宋_GB2312"/>
          <w:spacing w:val="4"/>
          <w:szCs w:val="32"/>
        </w:rPr>
        <w:t>附件：</w:t>
      </w:r>
    </w:p>
    <w:p>
      <w:pPr>
        <w:pStyle w:val="2"/>
        <w:numPr>
          <w:ilvl w:val="0"/>
          <w:numId w:val="0"/>
        </w:numPr>
        <w:ind w:left="420"/>
      </w:pPr>
    </w:p>
    <w:p>
      <w:pPr>
        <w:pStyle w:val="5"/>
      </w:pPr>
      <w:bookmarkStart w:id="208" w:name="_Toc9038"/>
      <w:bookmarkStart w:id="209" w:name="_Toc14039"/>
      <w:bookmarkStart w:id="210" w:name="_Toc7440"/>
      <w:bookmarkStart w:id="211" w:name="_Toc12814"/>
      <w:bookmarkStart w:id="212" w:name="_Toc11040"/>
      <w:bookmarkStart w:id="213" w:name="_Toc18373"/>
      <w:bookmarkStart w:id="214" w:name="_Toc15102"/>
      <w:bookmarkStart w:id="215" w:name="_Toc30461"/>
      <w:r>
        <w:rPr>
          <w:rFonts w:hint="eastAsia"/>
        </w:rPr>
        <w:t>江苏省住房和城乡建设厅文件</w:t>
      </w:r>
      <w:bookmarkEnd w:id="208"/>
      <w:bookmarkEnd w:id="209"/>
      <w:bookmarkEnd w:id="210"/>
      <w:bookmarkEnd w:id="211"/>
      <w:bookmarkEnd w:id="212"/>
      <w:bookmarkEnd w:id="213"/>
      <w:bookmarkEnd w:id="214"/>
      <w:bookmarkEnd w:id="215"/>
    </w:p>
    <w:p>
      <w:pPr>
        <w:widowControl/>
        <w:spacing w:before="100" w:beforeAutospacing="1" w:after="100" w:afterAutospacing="1" w:line="420" w:lineRule="atLeast"/>
        <w:ind w:firstLine="480"/>
        <w:jc w:val="left"/>
        <w:rPr>
          <w:rFonts w:ascii="宋体" w:hAnsi="宋体" w:cs="宋体"/>
          <w:color w:val="000000"/>
          <w:kern w:val="0"/>
          <w:sz w:val="24"/>
        </w:rPr>
      </w:pPr>
    </w:p>
    <w:p>
      <w:pPr>
        <w:pStyle w:val="4"/>
      </w:pPr>
      <w:bookmarkStart w:id="216" w:name="_Toc13536"/>
      <w:bookmarkStart w:id="217" w:name="_Toc12153"/>
      <w:bookmarkStart w:id="218" w:name="_Toc25984"/>
      <w:bookmarkStart w:id="219" w:name="_Toc15123"/>
      <w:bookmarkStart w:id="220" w:name="_Toc4783"/>
      <w:bookmarkStart w:id="221" w:name="_Toc2003"/>
      <w:bookmarkStart w:id="222" w:name="_Toc5254"/>
      <w:bookmarkStart w:id="223" w:name="_Toc24570"/>
      <w:bookmarkStart w:id="224" w:name="_Toc14688"/>
      <w:bookmarkStart w:id="225" w:name="_Toc27420"/>
      <w:bookmarkStart w:id="226" w:name="_Toc18219"/>
      <w:r>
        <w:rPr>
          <w:rFonts w:hint="eastAsia"/>
        </w:rPr>
        <w:t>苏建规字〔2010〕4号</w:t>
      </w:r>
      <w:bookmarkEnd w:id="216"/>
      <w:bookmarkEnd w:id="217"/>
      <w:bookmarkEnd w:id="218"/>
      <w:bookmarkEnd w:id="219"/>
      <w:bookmarkEnd w:id="220"/>
      <w:bookmarkEnd w:id="221"/>
      <w:bookmarkEnd w:id="222"/>
      <w:bookmarkEnd w:id="223"/>
      <w:bookmarkEnd w:id="224"/>
      <w:bookmarkEnd w:id="225"/>
      <w:bookmarkEnd w:id="226"/>
    </w:p>
    <w:p>
      <w:pPr>
        <w:widowControl/>
        <w:spacing w:before="100" w:beforeAutospacing="1" w:after="100" w:afterAutospacing="1" w:line="600" w:lineRule="exact"/>
        <w:ind w:firstLine="720"/>
        <w:jc w:val="center"/>
        <w:textAlignment w:val="baseline"/>
        <w:rPr>
          <w:rFonts w:ascii="宋体" w:hAnsi="宋体" w:cs="宋体"/>
          <w:color w:val="000000"/>
          <w:kern w:val="0"/>
          <w:sz w:val="36"/>
          <w:szCs w:val="36"/>
        </w:rPr>
      </w:pPr>
    </w:p>
    <w:p>
      <w:pPr>
        <w:pStyle w:val="3"/>
      </w:pPr>
      <w:bookmarkStart w:id="227" w:name="_Toc28639"/>
      <w:bookmarkStart w:id="228" w:name="_Toc27732"/>
      <w:bookmarkStart w:id="229" w:name="_Toc22034"/>
      <w:bookmarkStart w:id="230" w:name="_Toc10359"/>
      <w:bookmarkStart w:id="231" w:name="_Toc10511"/>
      <w:bookmarkStart w:id="232" w:name="_Toc22699"/>
      <w:bookmarkStart w:id="233" w:name="_Toc20945"/>
      <w:bookmarkStart w:id="234" w:name="_Toc14850"/>
      <w:bookmarkStart w:id="235" w:name="_Toc13494"/>
      <w:bookmarkStart w:id="236" w:name="_Toc18968"/>
      <w:bookmarkStart w:id="237" w:name="_Toc19892"/>
      <w:bookmarkStart w:id="238" w:name="_Toc24043"/>
      <w:bookmarkStart w:id="239" w:name="_Toc3530"/>
      <w:bookmarkStart w:id="240" w:name="_Toc13077"/>
      <w:r>
        <w:rPr>
          <w:rFonts w:hint="eastAsia"/>
        </w:rPr>
        <w:t>关于印发《江苏省工程造价从业人员</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pPr>
        <w:pStyle w:val="3"/>
      </w:pPr>
      <w:bookmarkStart w:id="241" w:name="_Toc22839"/>
      <w:bookmarkStart w:id="242" w:name="_Toc28869"/>
      <w:bookmarkStart w:id="243" w:name="_Toc6336"/>
      <w:bookmarkStart w:id="244" w:name="_Toc19757"/>
      <w:bookmarkStart w:id="245" w:name="_Toc28972"/>
      <w:bookmarkStart w:id="246" w:name="_Toc17192"/>
      <w:bookmarkStart w:id="247" w:name="_Toc12441"/>
      <w:bookmarkStart w:id="248" w:name="_Toc14222"/>
      <w:bookmarkStart w:id="249" w:name="_Toc20585"/>
      <w:bookmarkStart w:id="250" w:name="_Toc8616"/>
      <w:bookmarkStart w:id="251" w:name="_Toc26197"/>
      <w:bookmarkStart w:id="252" w:name="_Toc14021"/>
      <w:bookmarkStart w:id="253" w:name="_Toc6099"/>
      <w:bookmarkStart w:id="254" w:name="_Toc32263"/>
      <w:r>
        <w:rPr>
          <w:rFonts w:hint="eastAsia"/>
        </w:rPr>
        <w:t>信用管理办法》的通知</w: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pPr>
        <w:widowControl/>
        <w:spacing w:before="100" w:beforeAutospacing="1" w:after="100" w:afterAutospacing="1" w:line="600" w:lineRule="exact"/>
        <w:ind w:firstLine="480"/>
        <w:jc w:val="left"/>
        <w:textAlignment w:val="baseline"/>
        <w:rPr>
          <w:rFonts w:ascii="宋体" w:hAnsi="宋体" w:cs="宋体"/>
          <w:color w:val="000000"/>
          <w:kern w:val="0"/>
          <w:sz w:val="24"/>
        </w:rPr>
      </w:pPr>
    </w:p>
    <w:p>
      <w:pPr>
        <w:ind w:firstLine="0" w:firstLineChars="0"/>
      </w:pPr>
      <w:r>
        <w:rPr>
          <w:rFonts w:hint="eastAsia"/>
        </w:rPr>
        <w:t>各市建设局（委）、各有关单位：</w:t>
      </w:r>
    </w:p>
    <w:p>
      <w:pPr>
        <w:ind w:firstLine="560"/>
      </w:pPr>
      <w:r>
        <w:rPr>
          <w:rFonts w:hint="eastAsia"/>
        </w:rPr>
        <w:t>为推进我省工程造价行业诚信体系建设，规范工程造价从业人员执业行为，促进工程造价行业健康发展，我厅制定了《江苏省工程造价从业人员信用管理办法》，现印发给你们，并向社会公布，请认真贯彻执行。</w:t>
      </w:r>
    </w:p>
    <w:p>
      <w:pPr>
        <w:ind w:firstLine="560"/>
      </w:pPr>
      <w:r>
        <w:rPr>
          <w:rFonts w:hint="eastAsia"/>
        </w:rPr>
        <w:t>附件：《江苏省工程造价从业人员信用管理办法》</w:t>
      </w:r>
    </w:p>
    <w:p>
      <w:pPr>
        <w:ind w:firstLine="560"/>
      </w:pPr>
    </w:p>
    <w:p>
      <w:pPr>
        <w:ind w:firstLine="560"/>
      </w:pPr>
    </w:p>
    <w:p>
      <w:pPr>
        <w:ind w:firstLine="560"/>
        <w:jc w:val="right"/>
      </w:pPr>
      <w:r>
        <w:rPr>
          <w:rFonts w:hint="eastAsia"/>
        </w:rPr>
        <w:t>二〇一〇年十二月四日</w:t>
      </w:r>
    </w:p>
    <w:p>
      <w:pPr>
        <w:widowControl/>
        <w:spacing w:before="100" w:beforeAutospacing="1" w:after="100" w:afterAutospacing="1" w:line="600" w:lineRule="exact"/>
        <w:ind w:firstLine="462"/>
        <w:jc w:val="left"/>
        <w:textAlignment w:val="baseline"/>
        <w:rPr>
          <w:rFonts w:ascii="宋体" w:hAnsi="宋体" w:cs="宋体"/>
          <w:b/>
          <w:color w:val="000000"/>
          <w:kern w:val="0"/>
          <w:sz w:val="23"/>
          <w:szCs w:val="23"/>
        </w:rPr>
      </w:pPr>
    </w:p>
    <w:p>
      <w:pPr>
        <w:widowControl/>
        <w:spacing w:before="100" w:beforeAutospacing="1" w:after="100" w:afterAutospacing="1" w:line="600" w:lineRule="exact"/>
        <w:ind w:firstLine="462"/>
        <w:jc w:val="left"/>
        <w:textAlignment w:val="baseline"/>
        <w:rPr>
          <w:rFonts w:ascii="宋体" w:hAnsi="宋体" w:cs="宋体"/>
          <w:b/>
          <w:color w:val="000000"/>
          <w:kern w:val="0"/>
          <w:sz w:val="23"/>
          <w:szCs w:val="23"/>
        </w:rPr>
      </w:pPr>
    </w:p>
    <w:p>
      <w:pPr>
        <w:widowControl/>
        <w:spacing w:before="100" w:beforeAutospacing="1" w:after="100" w:afterAutospacing="1" w:line="600" w:lineRule="exact"/>
        <w:ind w:firstLine="0" w:firstLineChars="0"/>
        <w:jc w:val="left"/>
        <w:textAlignment w:val="baseline"/>
        <w:rPr>
          <w:rFonts w:ascii="宋体" w:hAnsi="宋体" w:cs="宋体"/>
          <w:color w:val="000000"/>
          <w:kern w:val="0"/>
          <w:sz w:val="32"/>
          <w:szCs w:val="32"/>
        </w:rPr>
      </w:pPr>
      <w:r>
        <w:rPr>
          <w:rFonts w:hint="eastAsia" w:hAnsi="宋体" w:cs="宋体"/>
          <w:color w:val="000000"/>
          <w:kern w:val="0"/>
          <w:sz w:val="32"/>
          <w:szCs w:val="32"/>
        </w:rPr>
        <w:t>附件：</w:t>
      </w:r>
    </w:p>
    <w:p>
      <w:pPr>
        <w:pStyle w:val="6"/>
      </w:pPr>
      <w:r>
        <w:rPr>
          <w:rFonts w:hint="eastAsia"/>
        </w:rPr>
        <w:t>江苏省工程造价从业人员信用管理办法</w:t>
      </w:r>
    </w:p>
    <w:p>
      <w:pPr>
        <w:ind w:firstLine="560"/>
      </w:pPr>
    </w:p>
    <w:p>
      <w:pPr>
        <w:spacing w:line="540" w:lineRule="exact"/>
        <w:ind w:firstLine="562"/>
      </w:pPr>
      <w:r>
        <w:rPr>
          <w:rFonts w:hint="eastAsia"/>
          <w:b/>
          <w:bCs/>
        </w:rPr>
        <w:t>第一条</w:t>
      </w:r>
      <w:r>
        <w:rPr>
          <w:rFonts w:hint="eastAsia"/>
        </w:rPr>
        <w:t xml:space="preserve">  为推进我省工程造价行业诚信体系建设，规范工程造价从业人员执业行为，促进工程造价行业健康发展，根据《注册造价工程师管理办法》（建设部令第150号）、《建筑市场诚信行为信息管理办法》（建市〔2007〕9号）等有关规定，结合我省实际，制定本办法。</w:t>
      </w:r>
    </w:p>
    <w:p>
      <w:pPr>
        <w:spacing w:line="540" w:lineRule="exact"/>
        <w:ind w:firstLine="562"/>
      </w:pPr>
      <w:r>
        <w:rPr>
          <w:rFonts w:hint="eastAsia"/>
          <w:b/>
          <w:bCs/>
        </w:rPr>
        <w:t>第二条</w:t>
      </w:r>
      <w:r>
        <w:rPr>
          <w:rFonts w:hint="eastAsia"/>
        </w:rPr>
        <w:t xml:space="preserve">  本办法所称工程造价从业人员是指依法取得造价工程师注册证书或全国建设工程造价员资格证书，并在我省行政区域内从事工程造价活动的人员（以下简称“造价从业人员”）。</w:t>
      </w:r>
    </w:p>
    <w:p>
      <w:pPr>
        <w:spacing w:line="540" w:lineRule="exact"/>
        <w:ind w:firstLine="562"/>
      </w:pPr>
      <w:r>
        <w:rPr>
          <w:rFonts w:hint="eastAsia"/>
          <w:b/>
          <w:bCs/>
        </w:rPr>
        <w:t>第三条</w:t>
      </w:r>
      <w:r>
        <w:rPr>
          <w:rFonts w:hint="eastAsia"/>
        </w:rPr>
        <w:t xml:space="preserve">  本办法所称信用管理是指对造价从业人员信用信息进行采集、记录、公布、评价等相关活动。</w:t>
      </w:r>
    </w:p>
    <w:p>
      <w:pPr>
        <w:spacing w:line="540" w:lineRule="exact"/>
        <w:ind w:firstLine="560"/>
      </w:pPr>
      <w:r>
        <w:rPr>
          <w:rFonts w:hint="eastAsia"/>
        </w:rPr>
        <w:t>本办法所称信用信息包括造价从业人员的基本情况、良好行为和不良行为：</w:t>
      </w:r>
    </w:p>
    <w:p>
      <w:pPr>
        <w:spacing w:line="540" w:lineRule="exact"/>
        <w:ind w:firstLine="560"/>
      </w:pPr>
      <w:r>
        <w:rPr>
          <w:rFonts w:hint="eastAsia"/>
        </w:rPr>
        <w:t>（一）基本情况是指造价从业人员的个人信息、资格类别、工作业绩、继续教育及从业单位变更历史等；</w:t>
      </w:r>
    </w:p>
    <w:p>
      <w:pPr>
        <w:spacing w:line="540" w:lineRule="exact"/>
        <w:ind w:firstLine="560"/>
      </w:pPr>
      <w:r>
        <w:rPr>
          <w:rFonts w:hint="eastAsia"/>
        </w:rPr>
        <w:t>（二）良好行为是指造价从业人员在工程造价活动中严格遵守有关法律、法规、规章或强制性标准，行为规范，诚信执业，受到相关部门奖励或表彰等行为；</w:t>
      </w:r>
    </w:p>
    <w:p>
      <w:pPr>
        <w:spacing w:line="540" w:lineRule="exact"/>
        <w:ind w:firstLine="560"/>
      </w:pPr>
      <w:r>
        <w:rPr>
          <w:rFonts w:hint="eastAsia"/>
        </w:rPr>
        <w:t>（三）不良行为是指造价从业人员在工程造价活动中违反有关法律、法规、规章或强制性标准，经相关部门认定并处理的违法违规行为。</w:t>
      </w:r>
    </w:p>
    <w:p>
      <w:pPr>
        <w:spacing w:line="540" w:lineRule="exact"/>
        <w:ind w:firstLine="562"/>
      </w:pPr>
      <w:r>
        <w:rPr>
          <w:rFonts w:hint="eastAsia"/>
          <w:b/>
          <w:bCs/>
        </w:rPr>
        <w:t>第四条</w:t>
      </w:r>
      <w:r>
        <w:rPr>
          <w:rFonts w:hint="eastAsia"/>
        </w:rPr>
        <w:t xml:space="preserve">  造价从业人员信用管理应遵循公开、公平、公正的原则。</w:t>
      </w:r>
    </w:p>
    <w:p>
      <w:pPr>
        <w:spacing w:line="540" w:lineRule="exact"/>
        <w:ind w:firstLine="562"/>
      </w:pPr>
      <w:r>
        <w:rPr>
          <w:rFonts w:hint="eastAsia"/>
          <w:b/>
          <w:bCs/>
        </w:rPr>
        <w:t>第五条</w:t>
      </w:r>
      <w:r>
        <w:rPr>
          <w:rFonts w:hint="eastAsia"/>
        </w:rPr>
        <w:t xml:space="preserve">  县级以上建设行政主管部门负责本行政区域内造价从业人员的信用管理，具体工作可委托工程造价管理机构负责。</w:t>
      </w:r>
    </w:p>
    <w:p>
      <w:pPr>
        <w:spacing w:line="540" w:lineRule="exact"/>
        <w:ind w:firstLine="560"/>
      </w:pPr>
      <w:r>
        <w:rPr>
          <w:rFonts w:hint="eastAsia"/>
        </w:rPr>
        <w:t>省造价管理机构负责贯彻落实国家有关信用管理的方针政策，制定全省造价从业人员的信用管理办法，建立全省造价从业人员的信用管理平台，发布全省造价从业人员的信用信息。</w:t>
      </w:r>
    </w:p>
    <w:p>
      <w:pPr>
        <w:spacing w:line="540" w:lineRule="exact"/>
        <w:ind w:firstLine="560"/>
      </w:pPr>
      <w:r>
        <w:rPr>
          <w:rFonts w:hint="eastAsia"/>
        </w:rPr>
        <w:t>市、县（市、区）造价管理机构负责采集、记录本行政区域内造价从业人员的信用信息，根据造价从业人员的信用状况实行差别化管理。</w:t>
      </w:r>
    </w:p>
    <w:p>
      <w:pPr>
        <w:spacing w:line="540" w:lineRule="exact"/>
        <w:ind w:firstLine="562"/>
      </w:pPr>
      <w:r>
        <w:rPr>
          <w:rFonts w:hint="eastAsia"/>
          <w:b/>
          <w:bCs/>
        </w:rPr>
        <w:t>第六条</w:t>
      </w:r>
      <w:r>
        <w:rPr>
          <w:rFonts w:hint="eastAsia"/>
        </w:rPr>
        <w:t xml:space="preserve">  工程造价行业协会应协助工程造价管理机构做好造价从业人员的信用管理工作。</w:t>
      </w:r>
    </w:p>
    <w:p>
      <w:pPr>
        <w:spacing w:line="540" w:lineRule="exact"/>
        <w:ind w:firstLine="562"/>
      </w:pPr>
      <w:r>
        <w:rPr>
          <w:rFonts w:hint="eastAsia"/>
          <w:b/>
          <w:bCs/>
        </w:rPr>
        <w:t>第七条</w:t>
      </w:r>
      <w:r>
        <w:rPr>
          <w:rFonts w:hint="eastAsia"/>
        </w:rPr>
        <w:t xml:space="preserve">  良好行为的认定依据包括县级以上人民政府、建设或相关行政主管部门、造价管理机构或行业协会的表彰决定、文件或证书、奖状等。</w:t>
      </w:r>
    </w:p>
    <w:p>
      <w:pPr>
        <w:spacing w:line="540" w:lineRule="exact"/>
        <w:ind w:firstLine="562"/>
      </w:pPr>
      <w:r>
        <w:rPr>
          <w:rFonts w:hint="eastAsia"/>
          <w:b/>
          <w:bCs/>
        </w:rPr>
        <w:t>第八条</w:t>
      </w:r>
      <w:r>
        <w:rPr>
          <w:rFonts w:hint="eastAsia"/>
        </w:rPr>
        <w:t xml:space="preserve">  不良行为依据下列文书认定：</w:t>
      </w:r>
    </w:p>
    <w:p>
      <w:pPr>
        <w:spacing w:line="540" w:lineRule="exact"/>
        <w:ind w:firstLine="560"/>
      </w:pPr>
      <w:r>
        <w:rPr>
          <w:rFonts w:hint="eastAsia"/>
        </w:rPr>
        <w:t xml:space="preserve">（一）已生效的判决书或仲裁裁决书； </w:t>
      </w:r>
    </w:p>
    <w:p>
      <w:pPr>
        <w:spacing w:line="540" w:lineRule="exact"/>
        <w:ind w:firstLine="560"/>
      </w:pPr>
      <w:r>
        <w:rPr>
          <w:rFonts w:hint="eastAsia"/>
        </w:rPr>
        <w:t>（二）已生效的行政处罚决定书；</w:t>
      </w:r>
    </w:p>
    <w:p>
      <w:pPr>
        <w:spacing w:line="540" w:lineRule="exact"/>
        <w:ind w:firstLine="560"/>
      </w:pPr>
      <w:r>
        <w:rPr>
          <w:rFonts w:hint="eastAsia"/>
        </w:rPr>
        <w:t xml:space="preserve">（三）县级以上建设行政主管部门、相关行政主管部门及执法部门签发的责令整改通知书、通报等； </w:t>
      </w:r>
    </w:p>
    <w:p>
      <w:pPr>
        <w:spacing w:line="540" w:lineRule="exact"/>
        <w:ind w:firstLine="560"/>
      </w:pPr>
      <w:r>
        <w:rPr>
          <w:rFonts w:hint="eastAsia"/>
        </w:rPr>
        <w:t>（四）经有关职能部门或机构查证并做出处理决定的文书。</w:t>
      </w:r>
    </w:p>
    <w:p>
      <w:pPr>
        <w:spacing w:line="540" w:lineRule="exact"/>
        <w:ind w:firstLine="562"/>
      </w:pPr>
      <w:r>
        <w:rPr>
          <w:rFonts w:hint="eastAsia"/>
          <w:b/>
          <w:bCs/>
        </w:rPr>
        <w:t xml:space="preserve">第九条 </w:t>
      </w:r>
      <w:r>
        <w:rPr>
          <w:rFonts w:hint="eastAsia"/>
        </w:rPr>
        <w:t xml:space="preserve"> 造价从业人员信用信息通过以下途径采集、记录：</w:t>
      </w:r>
    </w:p>
    <w:p>
      <w:pPr>
        <w:spacing w:line="540" w:lineRule="exact"/>
        <w:ind w:firstLine="560"/>
      </w:pPr>
      <w:r>
        <w:rPr>
          <w:rFonts w:hint="eastAsia"/>
        </w:rPr>
        <w:t>（一）基本情况由造价从业人员通过工程造价监管系统录入并及时更新，其中学历、职称等变更的，应携相关书面证明报所属市、县（市、区）造价管理机构确认；</w:t>
      </w:r>
    </w:p>
    <w:p>
      <w:pPr>
        <w:spacing w:line="540" w:lineRule="exact"/>
        <w:ind w:firstLine="560"/>
      </w:pPr>
      <w:r>
        <w:rPr>
          <w:rFonts w:hint="eastAsia"/>
        </w:rPr>
        <w:t>（二）良好行为由造价从业人员通过工程造价监管系统报所属市、县（市、区）造价管理机构，由市、县（市、区）造价管理机构采集，报省辖市造价管理机构审核、记录；</w:t>
      </w:r>
    </w:p>
    <w:p>
      <w:pPr>
        <w:spacing w:line="540" w:lineRule="exact"/>
        <w:ind w:firstLine="560"/>
      </w:pPr>
      <w:r>
        <w:rPr>
          <w:rFonts w:hint="eastAsia"/>
        </w:rPr>
        <w:t>（三）不良行为由不良行为发生地造价管理机构负责采集，报省造价管理机构确认后记录。</w:t>
      </w:r>
    </w:p>
    <w:p>
      <w:pPr>
        <w:spacing w:line="540" w:lineRule="exact"/>
        <w:ind w:firstLine="562"/>
      </w:pPr>
      <w:r>
        <w:rPr>
          <w:rFonts w:hint="eastAsia"/>
          <w:b/>
          <w:bCs/>
        </w:rPr>
        <w:t>第十条</w:t>
      </w:r>
      <w:r>
        <w:rPr>
          <w:rFonts w:hint="eastAsia"/>
        </w:rPr>
        <w:t xml:space="preserve">  全省造价从业人员信用信息由省造价管理机构通过“江苏工程造价信息网”（http://www.jszj.com.cn）统一对外发布，任何单位和个人均可通过“江苏工程造价信息网”查询。</w:t>
      </w:r>
    </w:p>
    <w:p>
      <w:pPr>
        <w:spacing w:line="540" w:lineRule="exact"/>
        <w:ind w:firstLine="562"/>
      </w:pPr>
      <w:r>
        <w:rPr>
          <w:rFonts w:hint="eastAsia"/>
          <w:b/>
          <w:bCs/>
        </w:rPr>
        <w:t xml:space="preserve">第十一条 </w:t>
      </w:r>
      <w:r>
        <w:rPr>
          <w:rFonts w:hint="eastAsia"/>
        </w:rPr>
        <w:t xml:space="preserve"> 造价从业人员的信用信息公布期限根据不同的信息类别设定：</w:t>
      </w:r>
    </w:p>
    <w:p>
      <w:pPr>
        <w:spacing w:line="540" w:lineRule="exact"/>
        <w:ind w:firstLine="560"/>
      </w:pPr>
      <w:r>
        <w:rPr>
          <w:rFonts w:hint="eastAsia"/>
        </w:rPr>
        <w:t>（一）基本情况不设定公布期限；</w:t>
      </w:r>
    </w:p>
    <w:p>
      <w:pPr>
        <w:spacing w:line="540" w:lineRule="exact"/>
        <w:ind w:firstLine="560"/>
      </w:pPr>
      <w:r>
        <w:rPr>
          <w:rFonts w:hint="eastAsia"/>
        </w:rPr>
        <w:t>（二）良好行为公布期限为3年，自第七条所规定的良好行为认定作出之日起计算，具体见附件1；</w:t>
      </w:r>
    </w:p>
    <w:p>
      <w:pPr>
        <w:spacing w:line="540" w:lineRule="exact"/>
        <w:ind w:firstLine="560"/>
      </w:pPr>
      <w:r>
        <w:rPr>
          <w:rFonts w:hint="eastAsia"/>
        </w:rPr>
        <w:t>（三）不良行为认定作出之日起7日内应予公布，公布期限一般为3个月至2年，自第八条规定的不良行为认定作出之日起计算，具体见附件2。</w:t>
      </w:r>
    </w:p>
    <w:p>
      <w:pPr>
        <w:spacing w:line="540" w:lineRule="exact"/>
        <w:ind w:firstLine="562"/>
      </w:pPr>
      <w:r>
        <w:rPr>
          <w:rFonts w:hint="eastAsia"/>
          <w:b/>
          <w:bCs/>
        </w:rPr>
        <w:t xml:space="preserve">第十二条 </w:t>
      </w:r>
      <w:r>
        <w:rPr>
          <w:rFonts w:hint="eastAsia"/>
        </w:rPr>
        <w:t xml:space="preserve"> 要求限期整改的不良行为，公布期内整改到位的，可向作出不良行为记录的部门或机构申请缩短公布期限，经审查合格并报省造价管理机构批准后可缩短公布期限，但最短不得少于2个月；公布期内未整改到位的，公布期限自动延长直至其整改到位。</w:t>
      </w:r>
    </w:p>
    <w:p>
      <w:pPr>
        <w:spacing w:line="540" w:lineRule="exact"/>
        <w:ind w:firstLine="562"/>
      </w:pPr>
      <w:r>
        <w:rPr>
          <w:rFonts w:hint="eastAsia"/>
          <w:b/>
          <w:bCs/>
        </w:rPr>
        <w:t>第十三条</w:t>
      </w:r>
      <w:r>
        <w:rPr>
          <w:rFonts w:hint="eastAsia"/>
        </w:rPr>
        <w:t xml:space="preserve">  造价从业人员的良好行为和不良行为是造价从业人员信用评价的主要依据。</w:t>
      </w:r>
    </w:p>
    <w:p>
      <w:pPr>
        <w:spacing w:line="540" w:lineRule="exact"/>
        <w:ind w:firstLine="562"/>
      </w:pPr>
      <w:r>
        <w:rPr>
          <w:rFonts w:hint="eastAsia"/>
          <w:b/>
          <w:bCs/>
        </w:rPr>
        <w:t>第十四条</w:t>
      </w:r>
      <w:r>
        <w:rPr>
          <w:rFonts w:hint="eastAsia"/>
        </w:rPr>
        <w:t xml:space="preserve">  造价从业人员发生不良行为的，根据不良行为的情节和性质采取下列措施实行差别化监督管理：</w:t>
      </w:r>
    </w:p>
    <w:p>
      <w:pPr>
        <w:spacing w:line="540" w:lineRule="exact"/>
        <w:ind w:firstLine="560"/>
      </w:pPr>
      <w:r>
        <w:rPr>
          <w:rFonts w:hint="eastAsia"/>
        </w:rPr>
        <w:t>（一）实施重点监管，增加检查频率；</w:t>
      </w:r>
    </w:p>
    <w:p>
      <w:pPr>
        <w:spacing w:line="540" w:lineRule="exact"/>
        <w:ind w:firstLine="560"/>
      </w:pPr>
      <w:r>
        <w:rPr>
          <w:rFonts w:hint="eastAsia"/>
        </w:rPr>
        <w:t>（二）进行法律法规和业务培训；</w:t>
      </w:r>
    </w:p>
    <w:p>
      <w:pPr>
        <w:spacing w:line="540" w:lineRule="exact"/>
        <w:ind w:firstLine="560"/>
      </w:pPr>
      <w:r>
        <w:rPr>
          <w:rFonts w:hint="eastAsia"/>
        </w:rPr>
        <w:t>（三）其他。</w:t>
      </w:r>
    </w:p>
    <w:p>
      <w:pPr>
        <w:spacing w:line="540" w:lineRule="exact"/>
        <w:ind w:firstLine="562"/>
      </w:pPr>
      <w:r>
        <w:rPr>
          <w:rFonts w:hint="eastAsia"/>
          <w:b/>
          <w:bCs/>
        </w:rPr>
        <w:t>第十五条</w:t>
      </w:r>
      <w:r>
        <w:rPr>
          <w:rFonts w:hint="eastAsia"/>
        </w:rPr>
        <w:t xml:space="preserve">  在信用管理工作中应当建立责任奖罚机制，对在诚信行为信息的采集、记录、发布等工作中，表现突出的相关人员和单位，应当给予奖励；对玩忽职守、弄虚作假、隐瞒不报或徇私舞弊的责任单位和责任人，应当依法给予行政处分或追究相关责任。</w:t>
      </w:r>
    </w:p>
    <w:p>
      <w:pPr>
        <w:spacing w:line="540" w:lineRule="exact"/>
        <w:ind w:firstLine="562"/>
      </w:pPr>
      <w:r>
        <w:rPr>
          <w:rFonts w:hint="eastAsia"/>
          <w:b/>
          <w:bCs/>
        </w:rPr>
        <w:t xml:space="preserve">第十六条 </w:t>
      </w:r>
      <w:r>
        <w:rPr>
          <w:rFonts w:hint="eastAsia"/>
        </w:rPr>
        <w:t xml:space="preserve"> 省工程造价管理协会可以结合具体情况，根据本办法的规定制订造价从业人员信用评价的具体办法。</w:t>
      </w:r>
    </w:p>
    <w:p>
      <w:pPr>
        <w:spacing w:line="540" w:lineRule="exact"/>
        <w:ind w:firstLine="562"/>
      </w:pPr>
      <w:r>
        <w:rPr>
          <w:rFonts w:hint="eastAsia"/>
          <w:b/>
          <w:bCs/>
        </w:rPr>
        <w:t xml:space="preserve">第十七条 </w:t>
      </w:r>
      <w:r>
        <w:rPr>
          <w:rFonts w:hint="eastAsia"/>
        </w:rPr>
        <w:t xml:space="preserve"> 本办法由省住房和城乡建设厅负责解释。</w:t>
      </w:r>
    </w:p>
    <w:p>
      <w:pPr>
        <w:spacing w:line="540" w:lineRule="exact"/>
        <w:ind w:firstLine="562"/>
      </w:pPr>
      <w:r>
        <w:rPr>
          <w:rFonts w:hint="eastAsia"/>
          <w:b/>
          <w:bCs/>
        </w:rPr>
        <w:t xml:space="preserve">第十八条 </w:t>
      </w:r>
      <w:r>
        <w:rPr>
          <w:rFonts w:hint="eastAsia"/>
        </w:rPr>
        <w:t xml:space="preserve"> 本办法自2011年2月1日起施行。</w:t>
      </w:r>
    </w:p>
    <w:p>
      <w:pPr>
        <w:spacing w:line="540" w:lineRule="exact"/>
        <w:ind w:firstLine="560"/>
      </w:pPr>
    </w:p>
    <w:p>
      <w:pPr>
        <w:spacing w:line="540" w:lineRule="exact"/>
        <w:ind w:firstLine="560"/>
      </w:pPr>
      <w:r>
        <w:rPr>
          <w:rFonts w:hint="eastAsia"/>
        </w:rPr>
        <w:t>附件1：江苏省工程造价从业人员良好行为汇总表</w:t>
      </w:r>
    </w:p>
    <w:p>
      <w:pPr>
        <w:spacing w:line="540" w:lineRule="exact"/>
        <w:ind w:firstLine="560"/>
      </w:pPr>
      <w:r>
        <w:rPr>
          <w:rFonts w:hint="eastAsia"/>
        </w:rPr>
        <w:t>2：江苏省工程造价从业人员不良行为汇总表</w:t>
      </w:r>
    </w:p>
    <w:p>
      <w:pPr>
        <w:widowControl/>
        <w:spacing w:before="100" w:beforeAutospacing="1" w:after="100" w:afterAutospacing="1" w:line="420" w:lineRule="atLeast"/>
        <w:ind w:firstLine="460"/>
        <w:jc w:val="center"/>
        <w:rPr>
          <w:rFonts w:ascii="宋体"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pStyle w:val="2"/>
        <w:numPr>
          <w:ilvl w:val="0"/>
          <w:numId w:val="0"/>
        </w:numPr>
        <w:rPr>
          <w:rFonts w:ascii="仿宋_GB2312" w:hAnsi="宋体" w:cs="宋体"/>
          <w:color w:val="000000"/>
          <w:kern w:val="0"/>
          <w:sz w:val="23"/>
          <w:szCs w:val="23"/>
        </w:rPr>
      </w:pPr>
    </w:p>
    <w:p>
      <w:pPr>
        <w:pStyle w:val="2"/>
        <w:numPr>
          <w:ilvl w:val="0"/>
          <w:numId w:val="0"/>
        </w:numPr>
        <w:rPr>
          <w:rFonts w:ascii="仿宋_GB2312" w:hAnsi="宋体" w:cs="宋体"/>
          <w:color w:val="000000"/>
          <w:kern w:val="0"/>
          <w:sz w:val="23"/>
          <w:szCs w:val="23"/>
        </w:rPr>
      </w:pPr>
    </w:p>
    <w:p>
      <w:pPr>
        <w:pStyle w:val="2"/>
        <w:numPr>
          <w:ilvl w:val="0"/>
          <w:numId w:val="0"/>
        </w:numPr>
        <w:rPr>
          <w:rFonts w:ascii="仿宋_GB2312" w:hAnsi="宋体" w:cs="宋体"/>
          <w:color w:val="000000"/>
          <w:kern w:val="0"/>
          <w:sz w:val="23"/>
          <w:szCs w:val="23"/>
        </w:rPr>
      </w:pPr>
    </w:p>
    <w:p>
      <w:pPr>
        <w:pStyle w:val="2"/>
        <w:numPr>
          <w:ilvl w:val="0"/>
          <w:numId w:val="0"/>
        </w:numPr>
        <w:rPr>
          <w:rFonts w:ascii="仿宋_GB2312" w:hAnsi="宋体" w:cs="宋体"/>
          <w:color w:val="000000"/>
          <w:kern w:val="0"/>
          <w:sz w:val="23"/>
          <w:szCs w:val="23"/>
        </w:rPr>
      </w:pPr>
    </w:p>
    <w:p>
      <w:pPr>
        <w:pStyle w:val="2"/>
        <w:numPr>
          <w:ilvl w:val="0"/>
          <w:numId w:val="0"/>
        </w:numPr>
        <w:rPr>
          <w:rFonts w:ascii="仿宋_GB2312" w:hAnsi="宋体" w:cs="宋体"/>
          <w:color w:val="000000"/>
          <w:kern w:val="0"/>
          <w:sz w:val="23"/>
          <w:szCs w:val="23"/>
        </w:rPr>
      </w:pPr>
    </w:p>
    <w:p>
      <w:pPr>
        <w:pStyle w:val="2"/>
        <w:numPr>
          <w:ilvl w:val="0"/>
          <w:numId w:val="0"/>
        </w:numPr>
        <w:rPr>
          <w:rFonts w:ascii="仿宋_GB2312" w:hAnsi="宋体" w:cs="宋体"/>
          <w:color w:val="000000"/>
          <w:kern w:val="0"/>
          <w:sz w:val="23"/>
          <w:szCs w:val="23"/>
        </w:rPr>
      </w:pPr>
    </w:p>
    <w:p>
      <w:pPr>
        <w:widowControl/>
        <w:spacing w:before="100" w:beforeAutospacing="1" w:after="100" w:afterAutospacing="1" w:line="460" w:lineRule="exact"/>
        <w:ind w:right="640" w:firstLine="460"/>
        <w:jc w:val="center"/>
        <w:rPr>
          <w:rFonts w:ascii="仿宋_GB2312" w:hAnsi="宋体" w:cs="宋体"/>
          <w:color w:val="000000"/>
          <w:kern w:val="0"/>
          <w:sz w:val="23"/>
          <w:szCs w:val="23"/>
        </w:rPr>
      </w:pPr>
    </w:p>
    <w:p>
      <w:pPr>
        <w:pStyle w:val="2"/>
        <w:numPr>
          <w:ilvl w:val="0"/>
          <w:numId w:val="0"/>
        </w:numPr>
        <w:tabs>
          <w:tab w:val="left" w:pos="0"/>
        </w:tabs>
        <w:outlineLvl w:val="1"/>
        <w:rPr>
          <w:rFonts w:ascii="Times New Roman" w:hAnsi="Times New Roman" w:eastAsia="方正仿宋_GBK" w:cs="Times New Roman"/>
          <w:color w:val="000000"/>
          <w:kern w:val="0"/>
          <w:sz w:val="32"/>
          <w:szCs w:val="32"/>
        </w:rPr>
      </w:pPr>
      <w:bookmarkStart w:id="255" w:name="_Toc2760"/>
      <w:bookmarkStart w:id="256" w:name="_Toc21321"/>
      <w:bookmarkStart w:id="257" w:name="_Toc19062"/>
      <w:bookmarkStart w:id="258" w:name="_Toc31593"/>
      <w:bookmarkStart w:id="259" w:name="_Toc21550"/>
      <w:bookmarkStart w:id="260" w:name="_Toc15225"/>
      <w:bookmarkStart w:id="261" w:name="_Toc21164"/>
      <w:bookmarkStart w:id="262" w:name="_Toc25902"/>
      <w:bookmarkStart w:id="263" w:name="_Toc19605"/>
      <w:bookmarkStart w:id="264" w:name="_Toc7395"/>
      <w:bookmarkStart w:id="265" w:name="_Toc32429"/>
      <w:bookmarkStart w:id="266" w:name="_Toc29150"/>
      <w:bookmarkStart w:id="267" w:name="_Toc7367"/>
      <w:r>
        <w:rPr>
          <w:rFonts w:ascii="Times New Roman" w:hAnsi="Times New Roman" w:eastAsia="方正仿宋_GBK" w:cs="Times New Roman"/>
          <w:color w:val="000000"/>
          <w:kern w:val="0"/>
          <w:sz w:val="32"/>
          <w:szCs w:val="32"/>
        </w:rPr>
        <w:t>附件1：</w:t>
      </w:r>
      <w:bookmarkEnd w:id="255"/>
      <w:bookmarkEnd w:id="256"/>
      <w:bookmarkEnd w:id="257"/>
      <w:bookmarkEnd w:id="258"/>
      <w:bookmarkEnd w:id="259"/>
      <w:bookmarkEnd w:id="260"/>
      <w:bookmarkEnd w:id="261"/>
      <w:bookmarkEnd w:id="262"/>
      <w:bookmarkEnd w:id="263"/>
      <w:bookmarkEnd w:id="264"/>
      <w:bookmarkEnd w:id="265"/>
      <w:bookmarkEnd w:id="266"/>
      <w:bookmarkEnd w:id="267"/>
    </w:p>
    <w:p>
      <w:pPr>
        <w:pStyle w:val="2"/>
        <w:numPr>
          <w:ilvl w:val="0"/>
          <w:numId w:val="0"/>
        </w:numPr>
        <w:ind w:left="420"/>
        <w:rPr>
          <w:rFonts w:ascii="Times New Roman" w:hAnsi="Times New Roman" w:eastAsia="方正仿宋_GBK" w:cs="Times New Roman"/>
          <w:color w:val="000000"/>
          <w:kern w:val="0"/>
          <w:sz w:val="32"/>
          <w:szCs w:val="32"/>
        </w:rPr>
      </w:pPr>
    </w:p>
    <w:p>
      <w:pPr>
        <w:pStyle w:val="2"/>
        <w:numPr>
          <w:ilvl w:val="0"/>
          <w:numId w:val="0"/>
        </w:numPr>
        <w:spacing w:line="360" w:lineRule="auto"/>
        <w:ind w:left="420"/>
        <w:jc w:val="center"/>
        <w:rPr>
          <w:rFonts w:ascii="Times New Roman" w:hAnsi="Times New Roman" w:eastAsia="方正仿宋_GBK" w:cs="Times New Roman"/>
          <w:color w:val="000000"/>
          <w:kern w:val="0"/>
          <w:sz w:val="36"/>
          <w:szCs w:val="36"/>
        </w:rPr>
      </w:pPr>
      <w:r>
        <w:rPr>
          <w:rFonts w:hint="eastAsia" w:ascii="方正小标宋简体" w:hAnsi="宋体" w:eastAsia="方正小标宋简体" w:cs="宋体"/>
          <w:color w:val="000000"/>
          <w:kern w:val="0"/>
          <w:sz w:val="36"/>
          <w:szCs w:val="36"/>
        </w:rPr>
        <w:t>江苏省工程造价从业人员良好行为汇总表</w:t>
      </w:r>
    </w:p>
    <w:tbl>
      <w:tblPr>
        <w:tblStyle w:val="22"/>
        <w:tblW w:w="8684" w:type="dxa"/>
        <w:tblInd w:w="133" w:type="dxa"/>
        <w:tblLayout w:type="fixed"/>
        <w:tblCellMar>
          <w:top w:w="0" w:type="dxa"/>
          <w:left w:w="108" w:type="dxa"/>
          <w:bottom w:w="0" w:type="dxa"/>
          <w:right w:w="108" w:type="dxa"/>
        </w:tblCellMar>
      </w:tblPr>
      <w:tblGrid>
        <w:gridCol w:w="680"/>
        <w:gridCol w:w="4400"/>
        <w:gridCol w:w="2037"/>
        <w:gridCol w:w="1567"/>
      </w:tblGrid>
      <w:tr>
        <w:tblPrEx>
          <w:tblCellMar>
            <w:top w:w="0" w:type="dxa"/>
            <w:left w:w="108" w:type="dxa"/>
            <w:bottom w:w="0" w:type="dxa"/>
            <w:right w:w="108" w:type="dxa"/>
          </w:tblCellMar>
        </w:tblPrEx>
        <w:trPr>
          <w:trHeight w:val="30" w:hRule="atLeast"/>
        </w:trPr>
        <w:tc>
          <w:tcPr>
            <w:tcW w:w="680" w:type="dxa"/>
            <w:noWrap/>
            <w:vAlign w:val="center"/>
          </w:tcPr>
          <w:p>
            <w:pPr>
              <w:widowControl/>
              <w:spacing w:line="240" w:lineRule="auto"/>
              <w:ind w:firstLine="0" w:firstLineChars="0"/>
              <w:jc w:val="center"/>
              <w:rPr>
                <w:rFonts w:ascii="宋体" w:hAnsi="宋体" w:cs="宋体"/>
                <w:color w:val="000000"/>
                <w:kern w:val="0"/>
                <w:sz w:val="4"/>
                <w:szCs w:val="22"/>
              </w:rPr>
            </w:pPr>
          </w:p>
        </w:tc>
        <w:tc>
          <w:tcPr>
            <w:tcW w:w="4400" w:type="dxa"/>
            <w:vAlign w:val="center"/>
          </w:tcPr>
          <w:p>
            <w:pPr>
              <w:widowControl/>
              <w:spacing w:line="240" w:lineRule="auto"/>
              <w:ind w:firstLine="0" w:firstLineChars="0"/>
              <w:jc w:val="left"/>
              <w:rPr>
                <w:rFonts w:ascii="宋体" w:hAnsi="宋体" w:cs="宋体"/>
                <w:color w:val="000000"/>
                <w:kern w:val="0"/>
                <w:sz w:val="4"/>
                <w:szCs w:val="22"/>
              </w:rPr>
            </w:pPr>
          </w:p>
        </w:tc>
        <w:tc>
          <w:tcPr>
            <w:tcW w:w="2037" w:type="dxa"/>
            <w:vAlign w:val="center"/>
          </w:tcPr>
          <w:p>
            <w:pPr>
              <w:widowControl/>
              <w:spacing w:line="240" w:lineRule="auto"/>
              <w:ind w:firstLine="0" w:firstLineChars="0"/>
              <w:jc w:val="left"/>
              <w:rPr>
                <w:rFonts w:ascii="宋体" w:hAnsi="宋体" w:cs="宋体"/>
                <w:color w:val="000000"/>
                <w:kern w:val="0"/>
                <w:sz w:val="4"/>
                <w:szCs w:val="22"/>
              </w:rPr>
            </w:pPr>
          </w:p>
        </w:tc>
        <w:tc>
          <w:tcPr>
            <w:tcW w:w="1567" w:type="dxa"/>
            <w:noWrap/>
            <w:vAlign w:val="center"/>
          </w:tcPr>
          <w:p>
            <w:pPr>
              <w:widowControl/>
              <w:spacing w:line="240" w:lineRule="auto"/>
              <w:ind w:firstLine="0" w:firstLineChars="0"/>
              <w:jc w:val="center"/>
              <w:rPr>
                <w:rFonts w:ascii="宋体" w:hAnsi="宋体" w:cs="宋体"/>
                <w:color w:val="000000"/>
                <w:kern w:val="0"/>
                <w:sz w:val="4"/>
              </w:rPr>
            </w:pPr>
          </w:p>
        </w:tc>
      </w:tr>
      <w:tr>
        <w:tblPrEx>
          <w:tblCellMar>
            <w:top w:w="0" w:type="dxa"/>
            <w:left w:w="108" w:type="dxa"/>
            <w:bottom w:w="0" w:type="dxa"/>
            <w:right w:w="108" w:type="dxa"/>
          </w:tblCellMar>
        </w:tblPrEx>
        <w:trPr>
          <w:trHeight w:val="1002" w:hRule="atLeast"/>
        </w:trPr>
        <w:tc>
          <w:tcPr>
            <w:tcW w:w="680" w:type="dxa"/>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b/>
                <w:bCs/>
                <w:color w:val="000000"/>
                <w:kern w:val="0"/>
                <w:sz w:val="22"/>
                <w:szCs w:val="22"/>
              </w:rPr>
            </w:pPr>
            <w:r>
              <w:rPr>
                <w:rFonts w:hint="eastAsia" w:ascii="宋体" w:hAnsi="宋体" w:cs="宋体"/>
                <w:b/>
                <w:bCs/>
                <w:color w:val="000000"/>
                <w:kern w:val="0"/>
                <w:sz w:val="22"/>
                <w:szCs w:val="22"/>
              </w:rPr>
              <w:t>序号</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center"/>
              <w:rPr>
                <w:rFonts w:ascii="宋体" w:hAnsi="宋体" w:cs="宋体"/>
                <w:b/>
                <w:bCs/>
                <w:color w:val="000000"/>
                <w:kern w:val="0"/>
                <w:sz w:val="22"/>
                <w:szCs w:val="22"/>
              </w:rPr>
            </w:pPr>
            <w:r>
              <w:rPr>
                <w:rFonts w:hint="eastAsia" w:ascii="宋体" w:hAnsi="宋体" w:cs="宋体"/>
                <w:b/>
                <w:bCs/>
                <w:color w:val="000000"/>
                <w:kern w:val="0"/>
                <w:sz w:val="22"/>
                <w:szCs w:val="22"/>
              </w:rPr>
              <w:t>良好行为</w:t>
            </w:r>
          </w:p>
        </w:tc>
        <w:tc>
          <w:tcPr>
            <w:tcW w:w="1567" w:type="dxa"/>
            <w:tcBorders>
              <w:top w:val="single" w:color="auto" w:sz="4" w:space="0"/>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b/>
                <w:bCs/>
                <w:color w:val="000000"/>
                <w:kern w:val="0"/>
                <w:sz w:val="22"/>
                <w:szCs w:val="22"/>
              </w:rPr>
            </w:pPr>
            <w:r>
              <w:rPr>
                <w:rFonts w:hint="eastAsia" w:ascii="宋体" w:hAnsi="宋体" w:cs="宋体"/>
                <w:b/>
                <w:bCs/>
                <w:color w:val="000000"/>
                <w:kern w:val="0"/>
                <w:sz w:val="22"/>
                <w:szCs w:val="22"/>
              </w:rPr>
              <w:t>公布期限</w:t>
            </w:r>
          </w:p>
        </w:tc>
      </w:tr>
      <w:tr>
        <w:trPr>
          <w:trHeight w:val="78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获得县级以上人民政府的表彰或奖励</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69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2</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获得县级以上建设行政主管部门的表彰或奖励</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76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获得县级以上造价管理机构或造价行业协会的综合表彰或奖励</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79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4</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获得县级以上司法、审计、财政等部门表彰、奖励</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82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获市级以上科技进步奖或专利奖</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81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获省级造价类创新奖或专项课题奖</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78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7</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在省造价管理总站组织的各类造价业务技能竞赛获奖</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r>
        <w:trPr>
          <w:trHeight w:val="75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8</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在省造价管理总站或省造价协会组织的优秀论文或典型案例评选中获奖</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3年</w:t>
            </w:r>
          </w:p>
        </w:tc>
      </w:tr>
    </w:tbl>
    <w:p>
      <w:pPr>
        <w:widowControl/>
        <w:spacing w:line="240" w:lineRule="auto"/>
        <w:ind w:firstLine="0" w:firstLineChars="0"/>
        <w:jc w:val="left"/>
        <w:rPr>
          <w:rFonts w:ascii="宋体" w:hAnsi="宋体" w:cs="宋体"/>
          <w:color w:val="000000"/>
          <w:kern w:val="0"/>
          <w:sz w:val="22"/>
          <w:szCs w:val="22"/>
        </w:rPr>
      </w:pPr>
      <w:r>
        <w:br w:type="page"/>
      </w:r>
    </w:p>
    <w:p>
      <w:pPr>
        <w:pStyle w:val="2"/>
        <w:numPr>
          <w:ilvl w:val="0"/>
          <w:numId w:val="0"/>
        </w:numPr>
        <w:outlineLvl w:val="1"/>
        <w:rPr>
          <w:rFonts w:ascii="Times New Roman" w:hAnsi="Times New Roman" w:eastAsia="方正仿宋_GBK" w:cs="Times New Roman"/>
          <w:color w:val="000000"/>
          <w:kern w:val="0"/>
          <w:sz w:val="32"/>
          <w:szCs w:val="32"/>
        </w:rPr>
      </w:pPr>
      <w:bookmarkStart w:id="268" w:name="_Toc24685"/>
      <w:bookmarkStart w:id="269" w:name="_Toc21790"/>
      <w:bookmarkStart w:id="270" w:name="_Toc285"/>
      <w:bookmarkStart w:id="271" w:name="_Toc26561"/>
      <w:bookmarkStart w:id="272" w:name="_Toc4641"/>
      <w:bookmarkStart w:id="273" w:name="_Toc271"/>
      <w:bookmarkStart w:id="274" w:name="_Toc16309"/>
      <w:bookmarkStart w:id="275" w:name="_Toc23633"/>
      <w:bookmarkStart w:id="276" w:name="_Toc20057"/>
      <w:bookmarkStart w:id="277" w:name="_Toc6010"/>
      <w:bookmarkStart w:id="278" w:name="_Toc18453"/>
      <w:bookmarkStart w:id="279" w:name="_Toc30601"/>
      <w:bookmarkStart w:id="280" w:name="_Toc24933"/>
      <w:r>
        <w:rPr>
          <w:rFonts w:hint="eastAsia" w:ascii="Times New Roman" w:hAnsi="Times New Roman" w:eastAsia="方正仿宋_GBK" w:cs="Times New Roman"/>
          <w:color w:val="000000"/>
          <w:kern w:val="0"/>
          <w:sz w:val="32"/>
          <w:szCs w:val="32"/>
        </w:rPr>
        <w:t>附件2：</w:t>
      </w:r>
      <w:bookmarkEnd w:id="268"/>
      <w:bookmarkEnd w:id="269"/>
      <w:bookmarkEnd w:id="270"/>
      <w:bookmarkEnd w:id="271"/>
      <w:bookmarkEnd w:id="272"/>
      <w:bookmarkEnd w:id="273"/>
      <w:bookmarkEnd w:id="274"/>
      <w:bookmarkEnd w:id="275"/>
      <w:bookmarkEnd w:id="276"/>
      <w:bookmarkEnd w:id="277"/>
      <w:bookmarkEnd w:id="278"/>
      <w:bookmarkEnd w:id="279"/>
      <w:bookmarkEnd w:id="280"/>
    </w:p>
    <w:p>
      <w:pPr>
        <w:pStyle w:val="2"/>
        <w:numPr>
          <w:ilvl w:val="0"/>
          <w:numId w:val="0"/>
        </w:numPr>
        <w:ind w:left="420" w:firstLine="1040"/>
        <w:rPr>
          <w:rFonts w:ascii="Times New Roman" w:hAnsi="Times New Roman" w:eastAsia="方正仿宋_GBK" w:cs="Times New Roman"/>
          <w:color w:val="000000"/>
          <w:kern w:val="0"/>
          <w:sz w:val="32"/>
          <w:szCs w:val="32"/>
        </w:rPr>
      </w:pPr>
    </w:p>
    <w:p>
      <w:pPr>
        <w:pStyle w:val="2"/>
        <w:numPr>
          <w:ilvl w:val="0"/>
          <w:numId w:val="0"/>
        </w:numPr>
        <w:spacing w:line="360" w:lineRule="auto"/>
        <w:ind w:left="420" w:firstLine="1040"/>
        <w:jc w:val="center"/>
        <w:rPr>
          <w:rFonts w:ascii="方正小标宋简体" w:hAnsi="宋体" w:eastAsia="方正小标宋简体" w:cs="宋体"/>
          <w:color w:val="000000"/>
          <w:kern w:val="0"/>
          <w:sz w:val="36"/>
          <w:szCs w:val="36"/>
        </w:rPr>
      </w:pPr>
      <w:r>
        <w:rPr>
          <w:rFonts w:hint="eastAsia" w:ascii="方正小标宋简体" w:hAnsi="宋体" w:eastAsia="方正小标宋简体" w:cs="宋体"/>
          <w:color w:val="000000"/>
          <w:kern w:val="0"/>
          <w:sz w:val="36"/>
          <w:szCs w:val="36"/>
        </w:rPr>
        <w:t>江苏省工程造价从业人员不良行为汇总表</w:t>
      </w:r>
    </w:p>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　</w:t>
      </w:r>
    </w:p>
    <w:tbl>
      <w:tblPr>
        <w:tblStyle w:val="22"/>
        <w:tblW w:w="8684" w:type="dxa"/>
        <w:tblInd w:w="133" w:type="dxa"/>
        <w:tblLayout w:type="fixed"/>
        <w:tblCellMar>
          <w:top w:w="0" w:type="dxa"/>
          <w:left w:w="108" w:type="dxa"/>
          <w:bottom w:w="0" w:type="dxa"/>
          <w:right w:w="108" w:type="dxa"/>
        </w:tblCellMar>
      </w:tblPr>
      <w:tblGrid>
        <w:gridCol w:w="680"/>
        <w:gridCol w:w="4400"/>
        <w:gridCol w:w="2037"/>
        <w:gridCol w:w="1567"/>
      </w:tblGrid>
      <w:tr>
        <w:trPr>
          <w:trHeight w:val="30" w:hRule="atLeast"/>
        </w:trPr>
        <w:tc>
          <w:tcPr>
            <w:tcW w:w="680" w:type="dxa"/>
            <w:vAlign w:val="center"/>
          </w:tcPr>
          <w:p>
            <w:pPr>
              <w:widowControl/>
              <w:spacing w:line="240" w:lineRule="auto"/>
              <w:ind w:firstLine="0" w:firstLineChars="0"/>
              <w:jc w:val="center"/>
              <w:rPr>
                <w:rFonts w:ascii="宋体" w:hAnsi="宋体" w:cs="宋体"/>
                <w:color w:val="000000"/>
                <w:kern w:val="0"/>
                <w:sz w:val="4"/>
                <w:szCs w:val="22"/>
              </w:rPr>
            </w:pPr>
          </w:p>
        </w:tc>
        <w:tc>
          <w:tcPr>
            <w:tcW w:w="4400" w:type="dxa"/>
            <w:vAlign w:val="center"/>
          </w:tcPr>
          <w:p>
            <w:pPr>
              <w:widowControl/>
              <w:spacing w:line="240" w:lineRule="auto"/>
              <w:ind w:firstLine="0" w:firstLineChars="0"/>
              <w:jc w:val="left"/>
              <w:rPr>
                <w:rFonts w:ascii="宋体" w:hAnsi="宋体" w:cs="宋体"/>
                <w:color w:val="000000"/>
                <w:kern w:val="0"/>
                <w:sz w:val="4"/>
                <w:szCs w:val="22"/>
              </w:rPr>
            </w:pPr>
          </w:p>
        </w:tc>
        <w:tc>
          <w:tcPr>
            <w:tcW w:w="2037" w:type="dxa"/>
            <w:vAlign w:val="center"/>
          </w:tcPr>
          <w:p>
            <w:pPr>
              <w:widowControl/>
              <w:spacing w:line="240" w:lineRule="auto"/>
              <w:ind w:firstLine="0" w:firstLineChars="0"/>
              <w:jc w:val="left"/>
              <w:rPr>
                <w:rFonts w:ascii="宋体" w:hAnsi="宋体" w:cs="宋体"/>
                <w:color w:val="000000"/>
                <w:kern w:val="0"/>
                <w:sz w:val="4"/>
                <w:szCs w:val="22"/>
              </w:rPr>
            </w:pPr>
          </w:p>
        </w:tc>
        <w:tc>
          <w:tcPr>
            <w:tcW w:w="1567" w:type="dxa"/>
            <w:noWrap/>
            <w:vAlign w:val="center"/>
          </w:tcPr>
          <w:p>
            <w:pPr>
              <w:widowControl/>
              <w:spacing w:line="240" w:lineRule="auto"/>
              <w:ind w:firstLine="0" w:firstLineChars="0"/>
              <w:jc w:val="center"/>
              <w:rPr>
                <w:rFonts w:ascii="宋体" w:hAnsi="宋体" w:cs="宋体"/>
                <w:color w:val="000000"/>
                <w:kern w:val="0"/>
                <w:sz w:val="4"/>
                <w:szCs w:val="22"/>
              </w:rPr>
            </w:pPr>
          </w:p>
        </w:tc>
      </w:tr>
      <w:tr>
        <w:tblPrEx>
          <w:tblCellMar>
            <w:top w:w="0" w:type="dxa"/>
            <w:left w:w="108" w:type="dxa"/>
            <w:bottom w:w="0" w:type="dxa"/>
            <w:right w:w="108" w:type="dxa"/>
          </w:tblCellMar>
        </w:tblPrEx>
        <w:trPr>
          <w:trHeight w:val="720" w:hRule="atLeast"/>
        </w:trPr>
        <w:tc>
          <w:tcPr>
            <w:tcW w:w="68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b/>
                <w:bCs/>
                <w:color w:val="000000"/>
                <w:kern w:val="0"/>
                <w:sz w:val="22"/>
                <w:szCs w:val="22"/>
              </w:rPr>
            </w:pPr>
            <w:r>
              <w:rPr>
                <w:rFonts w:hint="eastAsia" w:ascii="宋体" w:hAnsi="宋体" w:cs="宋体"/>
                <w:b/>
                <w:bCs/>
                <w:color w:val="000000"/>
                <w:kern w:val="0"/>
                <w:sz w:val="22"/>
                <w:szCs w:val="22"/>
              </w:rPr>
              <w:t>序号</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ascii="宋体" w:hAnsi="宋体" w:cs="宋体"/>
                <w:b/>
                <w:bCs/>
                <w:color w:val="000000"/>
                <w:kern w:val="0"/>
                <w:sz w:val="22"/>
                <w:szCs w:val="22"/>
              </w:rPr>
            </w:pPr>
            <w:r>
              <w:rPr>
                <w:rFonts w:hint="eastAsia" w:ascii="宋体" w:hAnsi="宋体" w:cs="宋体"/>
                <w:b/>
                <w:bCs/>
                <w:color w:val="000000"/>
                <w:kern w:val="0"/>
                <w:sz w:val="22"/>
                <w:szCs w:val="22"/>
              </w:rPr>
              <w:t>不良行为</w:t>
            </w:r>
          </w:p>
        </w:tc>
        <w:tc>
          <w:tcPr>
            <w:tcW w:w="1567" w:type="dxa"/>
            <w:tcBorders>
              <w:top w:val="single" w:color="auto" w:sz="4" w:space="0"/>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b/>
                <w:bCs/>
                <w:color w:val="000000"/>
                <w:kern w:val="0"/>
                <w:sz w:val="22"/>
                <w:szCs w:val="22"/>
              </w:rPr>
            </w:pPr>
            <w:r>
              <w:rPr>
                <w:rFonts w:hint="eastAsia" w:ascii="宋体" w:hAnsi="宋体" w:cs="宋体"/>
                <w:b/>
                <w:bCs/>
                <w:color w:val="000000"/>
                <w:kern w:val="0"/>
                <w:sz w:val="22"/>
                <w:szCs w:val="22"/>
              </w:rPr>
              <w:t>公布期限</w:t>
            </w:r>
          </w:p>
        </w:tc>
      </w:tr>
      <w:tr>
        <w:trPr>
          <w:trHeight w:val="64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w:t>
            </w:r>
          </w:p>
        </w:tc>
        <w:tc>
          <w:tcPr>
            <w:tcW w:w="6437" w:type="dxa"/>
            <w:gridSpan w:val="2"/>
            <w:tcBorders>
              <w:top w:val="nil"/>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咨询成果质量存在重大缺陷</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rPr>
          <w:trHeight w:val="66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2</w:t>
            </w:r>
          </w:p>
        </w:tc>
        <w:tc>
          <w:tcPr>
            <w:tcW w:w="6437" w:type="dxa"/>
            <w:gridSpan w:val="2"/>
            <w:tcBorders>
              <w:top w:val="nil"/>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在执业过程中严重违反国家标准、规范、强制性条文的计价行为</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7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国有资金投资项目未使用工程量清单计价方式或者违反计价规范强制性条文</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3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4</w:t>
            </w:r>
          </w:p>
        </w:tc>
        <w:tc>
          <w:tcPr>
            <w:tcW w:w="6437" w:type="dxa"/>
            <w:gridSpan w:val="2"/>
            <w:tcBorders>
              <w:top w:val="nil"/>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与当事人有利害关系而未主动回避</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3个月-6个月</w:t>
            </w:r>
          </w:p>
        </w:tc>
      </w:tr>
      <w:tr>
        <w:tblPrEx>
          <w:tblCellMar>
            <w:top w:w="0" w:type="dxa"/>
            <w:left w:w="108" w:type="dxa"/>
            <w:bottom w:w="0" w:type="dxa"/>
            <w:right w:w="108" w:type="dxa"/>
          </w:tblCellMar>
        </w:tblPrEx>
        <w:trPr>
          <w:trHeight w:val="67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6437" w:type="dxa"/>
            <w:gridSpan w:val="2"/>
            <w:tcBorders>
              <w:top w:val="nil"/>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泄露在执业过程中知悉的国家秘密和他人的商业、技术秘密</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4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在执业过程中索贿、受贿或者谋取合同约定费用外的其他利益</w:t>
            </w:r>
          </w:p>
        </w:tc>
        <w:tc>
          <w:tcPr>
            <w:tcW w:w="1567" w:type="dxa"/>
            <w:tcBorders>
              <w:top w:val="nil"/>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1年-2年</w:t>
            </w:r>
          </w:p>
        </w:tc>
      </w:tr>
      <w:tr>
        <w:tblPrEx>
          <w:tblCellMar>
            <w:top w:w="0" w:type="dxa"/>
            <w:left w:w="108" w:type="dxa"/>
            <w:bottom w:w="0" w:type="dxa"/>
            <w:right w:w="108" w:type="dxa"/>
          </w:tblCellMar>
        </w:tblPrEx>
        <w:trPr>
          <w:trHeight w:val="67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7</w:t>
            </w:r>
          </w:p>
        </w:tc>
        <w:tc>
          <w:tcPr>
            <w:tcW w:w="6437" w:type="dxa"/>
            <w:gridSpan w:val="2"/>
            <w:tcBorders>
              <w:top w:val="single" w:color="auto" w:sz="4" w:space="0"/>
              <w:left w:val="nil"/>
              <w:bottom w:val="nil"/>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在执业过程中实施商业贿赂</w:t>
            </w:r>
          </w:p>
        </w:tc>
        <w:tc>
          <w:tcPr>
            <w:tcW w:w="1567" w:type="dxa"/>
            <w:tcBorders>
              <w:top w:val="nil"/>
              <w:left w:val="single" w:color="auto" w:sz="4" w:space="0"/>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3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8</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签署有虚假记载、误导性陈述的工程造价文件</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0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9</w:t>
            </w:r>
          </w:p>
        </w:tc>
        <w:tc>
          <w:tcPr>
            <w:tcW w:w="6437" w:type="dxa"/>
            <w:gridSpan w:val="2"/>
            <w:tcBorders>
              <w:top w:val="single" w:color="auto" w:sz="4" w:space="0"/>
              <w:left w:val="nil"/>
              <w:bottom w:val="nil"/>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以个人名义承接工程造价业务</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3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允许他人以自己名义从事工程造价业务</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4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11</w:t>
            </w:r>
          </w:p>
        </w:tc>
        <w:tc>
          <w:tcPr>
            <w:tcW w:w="6437" w:type="dxa"/>
            <w:gridSpan w:val="2"/>
            <w:tcBorders>
              <w:top w:val="single" w:color="auto" w:sz="4" w:space="0"/>
              <w:left w:val="nil"/>
              <w:bottom w:val="single" w:color="auto" w:sz="4" w:space="0"/>
              <w:right w:val="single" w:color="000000"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 xml:space="preserve"> 注册造价工程师和建设工程造价员在非实际工作单位注册 </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60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同时在两个或者两个以上单位执业</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r>
        <w:tblPrEx>
          <w:tblCellMar>
            <w:top w:w="0" w:type="dxa"/>
            <w:left w:w="108" w:type="dxa"/>
            <w:bottom w:w="0" w:type="dxa"/>
            <w:right w:w="108" w:type="dxa"/>
          </w:tblCellMar>
        </w:tblPrEx>
        <w:trPr>
          <w:trHeight w:val="72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13</w:t>
            </w:r>
          </w:p>
        </w:tc>
        <w:tc>
          <w:tcPr>
            <w:tcW w:w="6437" w:type="dxa"/>
            <w:gridSpan w:val="2"/>
            <w:tcBorders>
              <w:top w:val="single" w:color="auto" w:sz="4" w:space="0"/>
              <w:left w:val="nil"/>
              <w:bottom w:val="nil"/>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涂改、倒卖、出租、出借、伪造或者以其他形式非法转让注册、资格证书及印章</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1年-2年</w:t>
            </w:r>
          </w:p>
        </w:tc>
      </w:tr>
      <w:tr>
        <w:tblPrEx>
          <w:tblCellMar>
            <w:top w:w="0" w:type="dxa"/>
            <w:left w:w="108" w:type="dxa"/>
            <w:bottom w:w="0" w:type="dxa"/>
            <w:right w:w="108" w:type="dxa"/>
          </w:tblCellMar>
        </w:tblPrEx>
        <w:trPr>
          <w:trHeight w:val="66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14</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未办理变更注册而继续从业</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3个月-6个月</w:t>
            </w:r>
          </w:p>
        </w:tc>
      </w:tr>
      <w:tr>
        <w:tblPrEx>
          <w:tblCellMar>
            <w:top w:w="0" w:type="dxa"/>
            <w:left w:w="108" w:type="dxa"/>
            <w:bottom w:w="0" w:type="dxa"/>
            <w:right w:w="108" w:type="dxa"/>
          </w:tblCellMar>
        </w:tblPrEx>
        <w:trPr>
          <w:trHeight w:val="630"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15</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未按要求提供信用档案信息</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3个月-6个月</w:t>
            </w:r>
          </w:p>
        </w:tc>
      </w:tr>
      <w:tr>
        <w:tblPrEx>
          <w:tblCellMar>
            <w:top w:w="0" w:type="dxa"/>
            <w:left w:w="108" w:type="dxa"/>
            <w:bottom w:w="0" w:type="dxa"/>
            <w:right w:w="108" w:type="dxa"/>
          </w:tblCellMar>
        </w:tblPrEx>
        <w:trPr>
          <w:trHeight w:val="645" w:hRule="atLeast"/>
        </w:trPr>
        <w:tc>
          <w:tcPr>
            <w:tcW w:w="680"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16</w:t>
            </w:r>
          </w:p>
        </w:tc>
        <w:tc>
          <w:tcPr>
            <w:tcW w:w="6437" w:type="dxa"/>
            <w:gridSpan w:val="2"/>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left"/>
              <w:rPr>
                <w:rFonts w:ascii="宋体" w:hAnsi="宋体" w:cs="宋体"/>
                <w:color w:val="000000"/>
                <w:kern w:val="0"/>
                <w:sz w:val="22"/>
                <w:szCs w:val="22"/>
              </w:rPr>
            </w:pPr>
            <w:r>
              <w:rPr>
                <w:rFonts w:hint="eastAsia" w:ascii="宋体" w:hAnsi="宋体" w:cs="宋体"/>
                <w:color w:val="000000"/>
                <w:kern w:val="0"/>
                <w:sz w:val="22"/>
                <w:szCs w:val="22"/>
              </w:rPr>
              <w:t>超越资格等级从事工程造价业务</w:t>
            </w:r>
          </w:p>
        </w:tc>
        <w:tc>
          <w:tcPr>
            <w:tcW w:w="1567" w:type="dxa"/>
            <w:tcBorders>
              <w:top w:val="nil"/>
              <w:left w:val="nil"/>
              <w:bottom w:val="single" w:color="auto" w:sz="4" w:space="0"/>
              <w:right w:val="single" w:color="auto" w:sz="4" w:space="0"/>
            </w:tcBorders>
            <w:noWrap/>
            <w:vAlign w:val="center"/>
          </w:tcPr>
          <w:p>
            <w:pPr>
              <w:widowControl/>
              <w:spacing w:line="240" w:lineRule="auto"/>
              <w:ind w:firstLine="0" w:firstLineChars="0"/>
              <w:jc w:val="center"/>
              <w:rPr>
                <w:rFonts w:ascii="宋体" w:hAnsi="宋体" w:cs="宋体"/>
                <w:color w:val="000000"/>
                <w:kern w:val="0"/>
                <w:sz w:val="22"/>
                <w:szCs w:val="22"/>
              </w:rPr>
            </w:pPr>
            <w:r>
              <w:rPr>
                <w:rFonts w:hint="eastAsia" w:ascii="宋体" w:hAnsi="宋体" w:cs="宋体"/>
                <w:color w:val="000000"/>
                <w:kern w:val="0"/>
                <w:sz w:val="22"/>
                <w:szCs w:val="22"/>
              </w:rPr>
              <w:t>6个月-1年</w:t>
            </w:r>
          </w:p>
        </w:tc>
      </w:tr>
    </w:tbl>
    <w:p>
      <w:pPr>
        <w:ind w:firstLine="560"/>
      </w:pPr>
    </w:p>
    <w:p>
      <w:pPr>
        <w:pStyle w:val="5"/>
      </w:pPr>
      <w:bookmarkStart w:id="281" w:name="_Toc30883"/>
      <w:bookmarkStart w:id="282" w:name="_Toc17158"/>
      <w:bookmarkStart w:id="283" w:name="_Toc19416"/>
      <w:bookmarkStart w:id="284" w:name="_Toc13369"/>
      <w:bookmarkStart w:id="285" w:name="_Toc26941"/>
      <w:bookmarkStart w:id="286" w:name="_Toc9260"/>
      <w:bookmarkStart w:id="287" w:name="_Toc25549"/>
      <w:bookmarkStart w:id="288" w:name="_Toc5807"/>
      <w:r>
        <w:rPr>
          <w:rFonts w:hint="eastAsia"/>
        </w:rPr>
        <w:t>苏州市住房和城乡建设局文件</w:t>
      </w:r>
      <w:bookmarkEnd w:id="281"/>
      <w:bookmarkEnd w:id="282"/>
      <w:bookmarkEnd w:id="283"/>
      <w:bookmarkEnd w:id="284"/>
      <w:bookmarkEnd w:id="285"/>
      <w:bookmarkEnd w:id="286"/>
      <w:bookmarkEnd w:id="287"/>
      <w:bookmarkEnd w:id="288"/>
    </w:p>
    <w:p>
      <w:pPr>
        <w:pStyle w:val="5"/>
      </w:pPr>
    </w:p>
    <w:p>
      <w:pPr>
        <w:pStyle w:val="4"/>
      </w:pPr>
      <w:bookmarkStart w:id="289" w:name="_Toc29900"/>
      <w:bookmarkStart w:id="290" w:name="_Toc20241"/>
      <w:bookmarkStart w:id="291" w:name="_Toc31201"/>
      <w:bookmarkStart w:id="292" w:name="_Toc26048"/>
      <w:bookmarkStart w:id="293" w:name="_Toc23133"/>
      <w:bookmarkStart w:id="294" w:name="_Toc29272"/>
      <w:bookmarkStart w:id="295" w:name="_Toc3633"/>
      <w:bookmarkStart w:id="296" w:name="_Toc31675"/>
      <w:bookmarkStart w:id="297" w:name="_Toc24658"/>
      <w:bookmarkStart w:id="298" w:name="_Toc17320"/>
      <w:bookmarkStart w:id="299" w:name="_Toc22486"/>
      <w:r>
        <w:rPr>
          <w:rFonts w:hint="eastAsia"/>
        </w:rPr>
        <w:t>苏住建价〔</w:t>
      </w:r>
      <w:r>
        <w:t>2011</w:t>
      </w:r>
      <w:r>
        <w:rPr>
          <w:rFonts w:hint="eastAsia"/>
        </w:rPr>
        <w:t>〕</w:t>
      </w:r>
      <w:r>
        <w:t>17</w:t>
      </w:r>
      <w:r>
        <w:rPr>
          <w:rFonts w:hint="eastAsia"/>
        </w:rPr>
        <w:t>号</w:t>
      </w:r>
      <w:bookmarkEnd w:id="289"/>
      <w:bookmarkEnd w:id="290"/>
      <w:bookmarkEnd w:id="291"/>
      <w:bookmarkEnd w:id="292"/>
      <w:bookmarkEnd w:id="293"/>
      <w:bookmarkEnd w:id="294"/>
      <w:bookmarkEnd w:id="295"/>
      <w:bookmarkEnd w:id="296"/>
      <w:bookmarkEnd w:id="297"/>
      <w:bookmarkEnd w:id="298"/>
      <w:bookmarkEnd w:id="299"/>
    </w:p>
    <w:p>
      <w:pPr>
        <w:ind w:firstLine="843"/>
        <w:jc w:val="center"/>
        <w:rPr>
          <w:rFonts w:ascii="宋体" w:hAnsi="宋体" w:eastAsia="宋体"/>
          <w:b/>
          <w:spacing w:val="-10"/>
          <w:sz w:val="44"/>
          <w:szCs w:val="44"/>
        </w:rPr>
      </w:pPr>
    </w:p>
    <w:p>
      <w:pPr>
        <w:pStyle w:val="2"/>
        <w:numPr>
          <w:ilvl w:val="0"/>
          <w:numId w:val="0"/>
        </w:numPr>
        <w:ind w:left="420"/>
      </w:pPr>
    </w:p>
    <w:p>
      <w:pPr>
        <w:pStyle w:val="3"/>
      </w:pPr>
      <w:bookmarkStart w:id="300" w:name="_Toc21711"/>
      <w:bookmarkStart w:id="301" w:name="_Toc15509"/>
      <w:bookmarkStart w:id="302" w:name="_Toc18419"/>
      <w:bookmarkStart w:id="303" w:name="_Toc22769"/>
      <w:bookmarkStart w:id="304" w:name="_Toc7044"/>
      <w:bookmarkStart w:id="305" w:name="_Toc16424"/>
      <w:bookmarkStart w:id="306" w:name="_Toc29050"/>
      <w:bookmarkStart w:id="307" w:name="_Toc20157"/>
      <w:bookmarkStart w:id="308" w:name="_Toc16517"/>
      <w:bookmarkStart w:id="309" w:name="_Toc10313"/>
      <w:bookmarkStart w:id="310" w:name="_Toc2909"/>
      <w:bookmarkStart w:id="311" w:name="_Toc13996"/>
      <w:bookmarkStart w:id="312" w:name="_Toc12551"/>
      <w:bookmarkStart w:id="313" w:name="_Toc11983"/>
      <w:r>
        <w:rPr>
          <w:rFonts w:hint="eastAsia"/>
        </w:rPr>
        <w:t>关于转发省住建厅《关于印发〈江苏省施工机械台班补充定额〉的通知》的通知</w:t>
      </w:r>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pPr>
        <w:ind w:firstLine="843"/>
        <w:jc w:val="center"/>
        <w:rPr>
          <w:rFonts w:ascii="宋体" w:hAnsi="宋体" w:eastAsia="宋体"/>
          <w:b/>
          <w:spacing w:val="-10"/>
          <w:sz w:val="44"/>
          <w:szCs w:val="44"/>
        </w:rPr>
      </w:pPr>
    </w:p>
    <w:p>
      <w:pPr>
        <w:ind w:firstLine="560"/>
      </w:pPr>
    </w:p>
    <w:p>
      <w:pPr>
        <w:ind w:firstLine="0" w:firstLineChars="0"/>
      </w:pPr>
      <w:r>
        <w:rPr>
          <w:rFonts w:hint="eastAsia"/>
        </w:rPr>
        <w:t>各市、区住房和城乡建设局，苏州工业园区规划建设局，市各有关委办局：</w:t>
      </w:r>
    </w:p>
    <w:p>
      <w:pPr>
        <w:ind w:firstLine="560"/>
      </w:pPr>
      <w:r>
        <w:rPr>
          <w:rFonts w:hint="eastAsia"/>
        </w:rPr>
        <w:t>现将省住建厅《关于印发〈江苏省施工机械台班补充定额〉的通知》（苏建价〔2011〕791号）转发给你们，请遵照执行。</w:t>
      </w:r>
    </w:p>
    <w:p>
      <w:pPr>
        <w:ind w:firstLine="560"/>
      </w:pPr>
    </w:p>
    <w:p>
      <w:pPr>
        <w:ind w:firstLine="560"/>
      </w:pPr>
      <w:r>
        <w:rPr>
          <w:rFonts w:hint="eastAsia"/>
        </w:rPr>
        <w:t>附件</w:t>
      </w:r>
      <w:r>
        <w:t>1</w:t>
      </w:r>
      <w:r>
        <w:rPr>
          <w:rFonts w:hint="eastAsia"/>
        </w:rPr>
        <w:t>：省住建厅《关于印发〈江苏省施工机械台班补充定额〉的通知》</w:t>
      </w:r>
    </w:p>
    <w:p>
      <w:pPr>
        <w:ind w:firstLine="560"/>
      </w:pPr>
      <w:r>
        <w:t>2</w:t>
      </w:r>
      <w:r>
        <w:rPr>
          <w:rFonts w:hint="eastAsia"/>
        </w:rPr>
        <w:t>：江苏省施工机械台班补充定额编制说明</w:t>
      </w:r>
    </w:p>
    <w:p>
      <w:pPr>
        <w:ind w:firstLine="560"/>
      </w:pPr>
      <w:r>
        <w:t>3</w:t>
      </w:r>
      <w:r>
        <w:rPr>
          <w:rFonts w:hint="eastAsia"/>
        </w:rPr>
        <w:t>：江苏省施工机械台班补充定额</w:t>
      </w:r>
    </w:p>
    <w:p>
      <w:pPr>
        <w:ind w:firstLine="560"/>
      </w:pPr>
    </w:p>
    <w:p>
      <w:pPr>
        <w:ind w:firstLine="560"/>
      </w:pPr>
    </w:p>
    <w:p>
      <w:pPr>
        <w:ind w:firstLine="560"/>
        <w:jc w:val="right"/>
        <w:rPr>
          <w:rFonts w:ascii="仿宋_GB2312"/>
          <w:spacing w:val="4"/>
          <w:szCs w:val="32"/>
        </w:rPr>
      </w:pPr>
      <w:r>
        <w:rPr>
          <w:rFonts w:hint="eastAsia"/>
        </w:rPr>
        <w:t>二○一一年十二月十九日</w:t>
      </w:r>
    </w:p>
    <w:p>
      <w:pPr>
        <w:ind w:firstLine="560"/>
      </w:pPr>
    </w:p>
    <w:p>
      <w:pPr>
        <w:ind w:firstLine="560"/>
      </w:pPr>
    </w:p>
    <w:p>
      <w:pPr>
        <w:widowControl/>
        <w:spacing w:line="420" w:lineRule="atLeast"/>
        <w:ind w:firstLine="540"/>
        <w:rPr>
          <w:rFonts w:ascii="ˎ̥" w:hAnsi="ˎ̥" w:eastAsia="宋体" w:cs="宋体"/>
          <w:color w:val="000000"/>
          <w:kern w:val="0"/>
          <w:sz w:val="27"/>
          <w:szCs w:val="27"/>
        </w:rPr>
      </w:pPr>
    </w:p>
    <w:p>
      <w:pPr>
        <w:widowControl/>
        <w:spacing w:line="420" w:lineRule="atLeast"/>
        <w:ind w:firstLine="0" w:firstLineChars="0"/>
        <w:outlineLvl w:val="0"/>
        <w:rPr>
          <w:rFonts w:ascii="ˎ̥" w:hAnsi="ˎ̥" w:eastAsia="宋体" w:cs="宋体"/>
          <w:color w:val="000000"/>
          <w:kern w:val="0"/>
          <w:sz w:val="27"/>
          <w:szCs w:val="27"/>
        </w:rPr>
      </w:pPr>
      <w:bookmarkStart w:id="314" w:name="_Toc22797"/>
      <w:bookmarkStart w:id="315" w:name="_Toc9425"/>
      <w:bookmarkStart w:id="316" w:name="_Toc5499"/>
      <w:bookmarkStart w:id="317" w:name="_Toc32513"/>
      <w:bookmarkStart w:id="318" w:name="_Toc8226"/>
      <w:bookmarkStart w:id="319" w:name="_Toc4124"/>
      <w:bookmarkStart w:id="320" w:name="_Toc9415"/>
      <w:bookmarkStart w:id="321" w:name="_Toc13227"/>
      <w:bookmarkStart w:id="322" w:name="_Toc4485"/>
      <w:bookmarkStart w:id="323" w:name="_Toc5047"/>
      <w:bookmarkStart w:id="324" w:name="_Toc23360"/>
      <w:bookmarkStart w:id="325" w:name="_Toc9602"/>
      <w:bookmarkStart w:id="326" w:name="_Toc28462"/>
      <w:r>
        <w:rPr>
          <w:rFonts w:hint="eastAsia" w:ascii="ˎ̥" w:hAnsi="ˎ̥" w:eastAsia="宋体" w:cs="宋体"/>
          <w:color w:val="000000"/>
          <w:kern w:val="0"/>
          <w:sz w:val="27"/>
          <w:szCs w:val="27"/>
        </w:rPr>
        <w:t>附件1：</w:t>
      </w:r>
      <w:bookmarkEnd w:id="314"/>
      <w:bookmarkEnd w:id="315"/>
      <w:bookmarkEnd w:id="316"/>
      <w:bookmarkEnd w:id="317"/>
      <w:bookmarkEnd w:id="318"/>
      <w:bookmarkEnd w:id="319"/>
      <w:bookmarkEnd w:id="320"/>
      <w:bookmarkEnd w:id="321"/>
      <w:bookmarkEnd w:id="322"/>
      <w:bookmarkEnd w:id="323"/>
      <w:bookmarkEnd w:id="324"/>
      <w:bookmarkEnd w:id="325"/>
      <w:bookmarkEnd w:id="326"/>
    </w:p>
    <w:p>
      <w:pPr>
        <w:widowControl/>
        <w:spacing w:line="420" w:lineRule="atLeast"/>
        <w:ind w:firstLine="540"/>
        <w:rPr>
          <w:rFonts w:ascii="ˎ̥" w:hAnsi="ˎ̥" w:eastAsia="宋体" w:cs="宋体"/>
          <w:color w:val="000000"/>
          <w:kern w:val="0"/>
          <w:sz w:val="27"/>
          <w:szCs w:val="27"/>
        </w:rPr>
      </w:pPr>
      <w:r>
        <w:rPr>
          <w:rFonts w:ascii="ˎ̥" w:hAnsi="ˎ̥" w:eastAsia="宋体" w:cs="宋体"/>
          <w:color w:val="000000"/>
          <w:kern w:val="0"/>
          <w:sz w:val="27"/>
          <w:szCs w:val="27"/>
        </w:rPr>
        <w:drawing>
          <wp:inline distT="0" distB="0" distL="0" distR="0">
            <wp:extent cx="5331460" cy="7649210"/>
            <wp:effectExtent l="0" t="0" r="2540" b="8890"/>
            <wp:docPr id="20" name="图片 20" descr="C:\Users\Administrator\AppData\Roaming\MasterPDFData\DocCache\Pdf2Img\附件1：省住建厅《关于印发〈江苏省施工机械台班补充定额〉的通知》\附件1：省住建厅《关于印发〈江苏省施工机械台班补充定额〉的通知》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AppData\Roaming\MasterPDFData\DocCache\Pdf2Img\附件1：省住建厅《关于印发〈江苏省施工机械台班补充定额〉的通知》\附件1：省住建厅《关于印发〈江苏省施工机械台班补充定额〉的通知》_1.png"/>
                    <pic:cNvPicPr>
                      <a:picLocks noChangeAspect="1" noChangeArrowheads="1"/>
                    </pic:cNvPicPr>
                  </pic:nvPicPr>
                  <pic:blipFill>
                    <a:blip r:embed="rId27">
                      <a:extLst>
                        <a:ext uri="{28A0092B-C50C-407E-A947-70E740481C1C}">
                          <a14:useLocalDpi xmlns:a14="http://schemas.microsoft.com/office/drawing/2010/main" val="0"/>
                        </a:ext>
                      </a:extLst>
                    </a:blip>
                    <a:srcRect l="7441"/>
                    <a:stretch>
                      <a:fillRect/>
                    </a:stretch>
                  </pic:blipFill>
                  <pic:spPr>
                    <a:xfrm>
                      <a:off x="0" y="0"/>
                      <a:ext cx="5331460" cy="7655890"/>
                    </a:xfrm>
                    <a:prstGeom prst="rect">
                      <a:avLst/>
                    </a:prstGeom>
                    <a:noFill/>
                    <a:ln>
                      <a:noFill/>
                    </a:ln>
                  </pic:spPr>
                </pic:pic>
              </a:graphicData>
            </a:graphic>
          </wp:inline>
        </w:drawing>
      </w:r>
    </w:p>
    <w:p>
      <w:pPr>
        <w:pStyle w:val="2"/>
        <w:numPr>
          <w:ilvl w:val="0"/>
          <w:numId w:val="0"/>
        </w:numPr>
        <w:ind w:left="780" w:hanging="360"/>
      </w:pPr>
    </w:p>
    <w:p>
      <w:pPr>
        <w:pStyle w:val="2"/>
        <w:numPr>
          <w:ilvl w:val="0"/>
          <w:numId w:val="0"/>
        </w:numPr>
        <w:ind w:left="780" w:hanging="360"/>
      </w:pPr>
    </w:p>
    <w:p>
      <w:pPr>
        <w:widowControl/>
        <w:spacing w:line="420" w:lineRule="atLeast"/>
        <w:ind w:firstLine="0" w:firstLineChars="0"/>
        <w:outlineLvl w:val="0"/>
        <w:rPr>
          <w:rFonts w:ascii="ˎ̥" w:hAnsi="ˎ̥" w:eastAsia="宋体" w:cs="宋体"/>
          <w:color w:val="000000"/>
          <w:kern w:val="0"/>
          <w:sz w:val="27"/>
          <w:szCs w:val="27"/>
        </w:rPr>
      </w:pPr>
      <w:bookmarkStart w:id="327" w:name="_Toc2135"/>
      <w:bookmarkStart w:id="328" w:name="_Toc17512"/>
      <w:bookmarkStart w:id="329" w:name="_Toc4486"/>
      <w:bookmarkStart w:id="330" w:name="_Toc6491"/>
      <w:bookmarkStart w:id="331" w:name="_Toc11402"/>
      <w:bookmarkStart w:id="332" w:name="_Toc24427"/>
      <w:bookmarkStart w:id="333" w:name="_Toc454"/>
      <w:bookmarkStart w:id="334" w:name="_Toc2724"/>
      <w:bookmarkStart w:id="335" w:name="_Toc9219"/>
      <w:bookmarkStart w:id="336" w:name="_Toc31478"/>
      <w:bookmarkStart w:id="337" w:name="_Toc14577"/>
      <w:bookmarkStart w:id="338" w:name="_Toc1077"/>
      <w:bookmarkStart w:id="339" w:name="_Toc6825"/>
      <w:r>
        <w:rPr>
          <w:rFonts w:hint="eastAsia" w:ascii="ˎ̥" w:hAnsi="ˎ̥" w:eastAsia="宋体" w:cs="宋体"/>
          <w:color w:val="000000"/>
          <w:kern w:val="0"/>
          <w:sz w:val="27"/>
          <w:szCs w:val="27"/>
        </w:rPr>
        <w:t>附件2：</w:t>
      </w:r>
      <w:bookmarkEnd w:id="327"/>
      <w:bookmarkEnd w:id="328"/>
      <w:bookmarkEnd w:id="329"/>
      <w:bookmarkEnd w:id="330"/>
      <w:bookmarkEnd w:id="331"/>
      <w:bookmarkEnd w:id="332"/>
      <w:bookmarkEnd w:id="333"/>
      <w:bookmarkEnd w:id="334"/>
      <w:bookmarkEnd w:id="335"/>
      <w:bookmarkEnd w:id="336"/>
      <w:bookmarkEnd w:id="337"/>
      <w:bookmarkEnd w:id="338"/>
      <w:bookmarkEnd w:id="339"/>
    </w:p>
    <w:p>
      <w:pPr>
        <w:pStyle w:val="6"/>
      </w:pPr>
      <w:r>
        <w:t>编制说明</w:t>
      </w:r>
    </w:p>
    <w:p>
      <w:pPr>
        <w:widowControl/>
        <w:ind w:firstLine="360"/>
        <w:jc w:val="center"/>
        <w:rPr>
          <w:rFonts w:ascii="宋体" w:hAnsi="宋体" w:cs="宋体"/>
          <w:color w:val="000000"/>
          <w:kern w:val="0"/>
          <w:sz w:val="18"/>
          <w:szCs w:val="18"/>
        </w:rPr>
      </w:pPr>
      <w:r>
        <w:rPr>
          <w:rFonts w:ascii="宋体" w:hAnsi="宋体" w:cs="宋体"/>
          <w:color w:val="000000"/>
          <w:kern w:val="0"/>
          <w:sz w:val="18"/>
          <w:szCs w:val="18"/>
        </w:rPr>
        <w:t> </w:t>
      </w:r>
    </w:p>
    <w:p>
      <w:pPr>
        <w:ind w:firstLine="560"/>
      </w:pPr>
      <w:r>
        <w:t>一、本补充定额对《江苏省施工机械台班2007年单价表》中引用机械台班费用组成和轨道交通施工中常用机械台班单价进行了补充。包括：挖掘机械、桩工、钻孔机械、混凝土及灰浆用机械、铲土及水平运输机械、起重及垂直运输机械、压实及路面机械、清洗筛选及装修机械、加工机械、木工机械、切割及打磨机械、焊接机械、冷却及热处理机械、环卫机械、钻探及地下工程机械、潜水及水面作业机械、动力机械、其他工程机械共计17类98个子目。原引用机械台班单价与本补充定额不一致的，以本补充定额为准。</w:t>
      </w:r>
    </w:p>
    <w:p>
      <w:pPr>
        <w:ind w:firstLine="560"/>
      </w:pPr>
      <w:r>
        <w:t>二、本补充定额中原编码为《江苏省施工机械台班2007年单价表》机械编码，新编码为参照建设部《建设工程人材机数据标准（征求意见稿）》后统一的新编编码。</w:t>
      </w:r>
    </w:p>
    <w:p>
      <w:pPr>
        <w:ind w:firstLine="560"/>
      </w:pPr>
      <w:r>
        <w:t>三、本补充定额机械台班单价由折旧费、大修理费、经常修理费、安拆费及场外运费、燃料动力费、人工费、其他费用组成。</w:t>
      </w:r>
    </w:p>
    <w:p>
      <w:pPr>
        <w:ind w:firstLine="560"/>
      </w:pPr>
      <w:r>
        <w:t>四、本补充定额中人工费和燃料动力费的价格调整如下：人工：53元/工日；汽油：8.4元/kg；柴油：7.48元/kg；电：0.75元/kwh；煤：390元/t ；木柴：0.35元/kg；水：4.1元/m3。</w:t>
      </w:r>
    </w:p>
    <w:p>
      <w:pPr>
        <w:ind w:firstLine="560"/>
      </w:pPr>
      <w:r>
        <w:t>五、本补充定额说明中未说明部分同《江苏省施工机械台班2007年单价表》。</w:t>
      </w:r>
    </w:p>
    <w:p>
      <w:pPr>
        <w:ind w:firstLine="560"/>
      </w:pPr>
    </w:p>
    <w:p>
      <w:pPr>
        <w:widowControl/>
        <w:spacing w:line="420" w:lineRule="atLeast"/>
        <w:ind w:firstLine="540"/>
        <w:rPr>
          <w:rFonts w:ascii="ˎ̥" w:hAnsi="ˎ̥" w:eastAsia="宋体" w:cs="宋体"/>
          <w:color w:val="000000"/>
          <w:kern w:val="0"/>
          <w:sz w:val="27"/>
          <w:szCs w:val="27"/>
        </w:rPr>
      </w:pPr>
    </w:p>
    <w:p>
      <w:pPr>
        <w:widowControl/>
        <w:spacing w:line="420" w:lineRule="atLeast"/>
        <w:ind w:firstLine="540"/>
        <w:rPr>
          <w:rFonts w:ascii="ˎ̥" w:hAnsi="ˎ̥" w:eastAsia="宋体" w:cs="宋体"/>
          <w:color w:val="000000"/>
          <w:kern w:val="0"/>
          <w:sz w:val="27"/>
          <w:szCs w:val="27"/>
        </w:rPr>
      </w:pPr>
    </w:p>
    <w:p>
      <w:pPr>
        <w:widowControl/>
        <w:spacing w:line="420" w:lineRule="atLeast"/>
        <w:ind w:firstLine="540"/>
        <w:rPr>
          <w:rFonts w:ascii="ˎ̥" w:hAnsi="ˎ̥" w:eastAsia="宋体" w:cs="宋体"/>
          <w:color w:val="000000"/>
          <w:kern w:val="0"/>
          <w:sz w:val="27"/>
          <w:szCs w:val="27"/>
        </w:rPr>
      </w:pPr>
    </w:p>
    <w:p>
      <w:pPr>
        <w:widowControl/>
        <w:spacing w:line="420" w:lineRule="atLeast"/>
        <w:ind w:firstLine="540"/>
        <w:rPr>
          <w:rFonts w:ascii="ˎ̥" w:hAnsi="ˎ̥" w:eastAsia="宋体" w:cs="宋体"/>
          <w:color w:val="000000"/>
          <w:kern w:val="0"/>
          <w:sz w:val="27"/>
          <w:szCs w:val="27"/>
        </w:rPr>
      </w:pPr>
    </w:p>
    <w:p>
      <w:pPr>
        <w:widowControl/>
        <w:spacing w:line="240" w:lineRule="auto"/>
        <w:ind w:firstLine="0" w:firstLineChars="0"/>
        <w:outlineLvl w:val="0"/>
        <w:rPr>
          <w:rFonts w:ascii="ˎ̥" w:hAnsi="ˎ̥" w:eastAsia="宋体" w:cs="宋体"/>
          <w:color w:val="000000"/>
          <w:kern w:val="0"/>
          <w:sz w:val="27"/>
          <w:szCs w:val="27"/>
        </w:rPr>
      </w:pPr>
      <w:bookmarkStart w:id="340" w:name="_Toc11444"/>
      <w:bookmarkStart w:id="341" w:name="_Toc13425"/>
      <w:bookmarkStart w:id="342" w:name="_Toc17633"/>
      <w:bookmarkStart w:id="343" w:name="_Toc16728"/>
      <w:bookmarkStart w:id="344" w:name="_Toc19854"/>
      <w:bookmarkStart w:id="345" w:name="_Toc8069"/>
      <w:bookmarkStart w:id="346" w:name="_Toc30841"/>
      <w:bookmarkStart w:id="347" w:name="_Toc23365"/>
      <w:bookmarkStart w:id="348" w:name="_Toc31011"/>
      <w:bookmarkStart w:id="349" w:name="_Toc10483"/>
      <w:bookmarkStart w:id="350" w:name="_Toc12046"/>
    </w:p>
    <w:p>
      <w:pPr>
        <w:widowControl/>
        <w:spacing w:line="240" w:lineRule="auto"/>
        <w:ind w:firstLine="0" w:firstLineChars="0"/>
        <w:outlineLvl w:val="0"/>
        <w:rPr>
          <w:rFonts w:ascii="ˎ̥" w:hAnsi="ˎ̥" w:eastAsia="宋体" w:cs="宋体"/>
          <w:color w:val="000000"/>
          <w:kern w:val="0"/>
          <w:sz w:val="27"/>
          <w:szCs w:val="27"/>
        </w:rPr>
      </w:pPr>
    </w:p>
    <w:p>
      <w:pPr>
        <w:widowControl/>
        <w:spacing w:line="240" w:lineRule="auto"/>
        <w:ind w:firstLine="0" w:firstLineChars="0"/>
        <w:outlineLvl w:val="0"/>
        <w:rPr>
          <w:rFonts w:ascii="ˎ̥" w:hAnsi="ˎ̥" w:eastAsia="宋体" w:cs="宋体"/>
          <w:color w:val="000000"/>
          <w:kern w:val="0"/>
          <w:sz w:val="27"/>
          <w:szCs w:val="27"/>
        </w:rPr>
      </w:pPr>
      <w:bookmarkStart w:id="351" w:name="_Toc12248"/>
      <w:bookmarkStart w:id="352" w:name="_Toc28603"/>
      <w:r>
        <w:rPr>
          <w:rFonts w:hint="eastAsia" w:ascii="ˎ̥" w:hAnsi="ˎ̥" w:eastAsia="宋体" w:cs="宋体"/>
          <w:color w:val="000000"/>
          <w:kern w:val="0"/>
          <w:sz w:val="27"/>
          <w:szCs w:val="27"/>
        </w:rPr>
        <w:t>附件3：</w:t>
      </w:r>
      <w:bookmarkEnd w:id="340"/>
      <w:bookmarkEnd w:id="341"/>
      <w:bookmarkEnd w:id="342"/>
      <w:bookmarkEnd w:id="343"/>
      <w:bookmarkEnd w:id="344"/>
      <w:bookmarkEnd w:id="345"/>
      <w:bookmarkEnd w:id="346"/>
      <w:bookmarkEnd w:id="347"/>
      <w:bookmarkEnd w:id="348"/>
      <w:bookmarkEnd w:id="349"/>
      <w:bookmarkEnd w:id="350"/>
      <w:bookmarkEnd w:id="351"/>
      <w:bookmarkEnd w:id="352"/>
    </w:p>
    <w:p>
      <w:pPr>
        <w:pStyle w:val="2"/>
        <w:numPr>
          <w:ilvl w:val="0"/>
          <w:numId w:val="0"/>
        </w:numPr>
        <w:tabs>
          <w:tab w:val="left" w:pos="426"/>
        </w:tabs>
        <w:spacing w:line="240" w:lineRule="auto"/>
        <w:ind w:left="-260"/>
        <w:jc w:val="center"/>
      </w:pPr>
      <w:r>
        <w:rPr>
          <w:rFonts w:hint="eastAsia"/>
        </w:rPr>
        <w:drawing>
          <wp:inline distT="0" distB="0" distL="0" distR="0">
            <wp:extent cx="5928995" cy="6814820"/>
            <wp:effectExtent l="0" t="0" r="14605"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28995" cy="6814820"/>
                    </a:xfrm>
                    <a:prstGeom prst="rect">
                      <a:avLst/>
                    </a:prstGeom>
                    <a:noFill/>
                    <a:ln>
                      <a:noFill/>
                    </a:ln>
                  </pic:spPr>
                </pic:pic>
              </a:graphicData>
            </a:graphic>
          </wp:inline>
        </w:drawing>
      </w:r>
      <w:r>
        <w:rPr>
          <w:rFonts w:hint="eastAsia"/>
        </w:rPr>
        <w:t xml:space="preserve"> </w:t>
      </w:r>
      <w:r>
        <w:rPr>
          <w:rFonts w:hint="eastAsia"/>
        </w:rPr>
        <w:drawing>
          <wp:inline distT="0" distB="0" distL="0" distR="0">
            <wp:extent cx="5965190" cy="7132320"/>
            <wp:effectExtent l="0" t="0" r="16510" b="1143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65190" cy="7132320"/>
                    </a:xfrm>
                    <a:prstGeom prst="rect">
                      <a:avLst/>
                    </a:prstGeom>
                    <a:noFill/>
                    <a:ln>
                      <a:noFill/>
                    </a:ln>
                  </pic:spPr>
                </pic:pic>
              </a:graphicData>
            </a:graphic>
          </wp:inline>
        </w:drawing>
      </w:r>
      <w:r>
        <w:rPr>
          <w:rFonts w:hint="eastAsia"/>
        </w:rPr>
        <w:t xml:space="preserve"> </w:t>
      </w:r>
      <w:r>
        <w:rPr>
          <w:rFonts w:hint="eastAsia"/>
        </w:rPr>
        <w:drawing>
          <wp:inline distT="0" distB="0" distL="0" distR="0">
            <wp:extent cx="6083300" cy="7717790"/>
            <wp:effectExtent l="0" t="0" r="12700" b="165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083300" cy="7717790"/>
                    </a:xfrm>
                    <a:prstGeom prst="rect">
                      <a:avLst/>
                    </a:prstGeom>
                    <a:noFill/>
                    <a:ln>
                      <a:noFill/>
                    </a:ln>
                  </pic:spPr>
                </pic:pic>
              </a:graphicData>
            </a:graphic>
          </wp:inline>
        </w:drawing>
      </w:r>
      <w:r>
        <w:rPr>
          <w:rFonts w:hint="eastAsia"/>
        </w:rPr>
        <w:t xml:space="preserve"> </w:t>
      </w:r>
      <w:r>
        <w:rPr>
          <w:rFonts w:hint="eastAsia"/>
        </w:rPr>
        <w:drawing>
          <wp:inline distT="0" distB="0" distL="0" distR="0">
            <wp:extent cx="5977255" cy="7560945"/>
            <wp:effectExtent l="0" t="0" r="4445"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977255" cy="7560945"/>
                    </a:xfrm>
                    <a:prstGeom prst="rect">
                      <a:avLst/>
                    </a:prstGeom>
                    <a:noFill/>
                    <a:ln>
                      <a:noFill/>
                    </a:ln>
                  </pic:spPr>
                </pic:pic>
              </a:graphicData>
            </a:graphic>
          </wp:inline>
        </w:drawing>
      </w:r>
    </w:p>
    <w:p>
      <w:pPr>
        <w:pStyle w:val="2"/>
        <w:numPr>
          <w:ilvl w:val="0"/>
          <w:numId w:val="0"/>
        </w:numPr>
        <w:tabs>
          <w:tab w:val="left" w:pos="426"/>
        </w:tabs>
        <w:spacing w:line="240" w:lineRule="auto"/>
        <w:ind w:left="-260"/>
        <w:jc w:val="center"/>
      </w:pPr>
    </w:p>
    <w:p>
      <w:pPr>
        <w:ind w:firstLine="560"/>
        <w:rPr>
          <w:rFonts w:hint="eastAsia" w:ascii="仿宋_GB2312"/>
        </w:rPr>
      </w:pPr>
    </w:p>
    <w:p>
      <w:pPr>
        <w:ind w:firstLine="560"/>
        <w:rPr>
          <w:rFonts w:hint="eastAsia" w:ascii="仿宋_GB2312"/>
        </w:rPr>
      </w:pPr>
    </w:p>
    <w:p>
      <w:pPr>
        <w:ind w:firstLine="560"/>
        <w:rPr>
          <w:rFonts w:ascii="仿宋_GB2312"/>
        </w:rPr>
      </w:pPr>
    </w:p>
    <w:p>
      <w:pPr>
        <w:ind w:firstLine="560"/>
        <w:rPr>
          <w:rFonts w:ascii="仿宋_GB2312"/>
        </w:rPr>
      </w:pPr>
      <w:r>
        <w:rPr>
          <w:rFonts w:ascii="仿宋_GB2312"/>
        </w:rPr>
        <w:drawing>
          <wp:anchor distT="0" distB="0" distL="114300" distR="114300" simplePos="0" relativeHeight="251662336" behindDoc="1" locked="0" layoutInCell="1" allowOverlap="1">
            <wp:simplePos x="0" y="0"/>
            <wp:positionH relativeFrom="column">
              <wp:posOffset>-914400</wp:posOffset>
            </wp:positionH>
            <wp:positionV relativeFrom="paragraph">
              <wp:posOffset>-388620</wp:posOffset>
            </wp:positionV>
            <wp:extent cx="7562850" cy="2824480"/>
            <wp:effectExtent l="0" t="0" r="0" b="15240"/>
            <wp:wrapNone/>
            <wp:docPr id="16" name="图片 16"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t="32453"/>
                    <a:stretch>
                      <a:fillRect/>
                    </a:stretch>
                  </pic:blipFill>
                  <pic:spPr>
                    <a:xfrm>
                      <a:off x="0" y="0"/>
                      <a:ext cx="7562850" cy="2824480"/>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pStyle w:val="4"/>
      </w:pPr>
      <w:bookmarkStart w:id="353" w:name="_Toc17096"/>
      <w:bookmarkStart w:id="354" w:name="_Toc11901"/>
      <w:bookmarkStart w:id="355" w:name="_Toc2464"/>
      <w:bookmarkStart w:id="356" w:name="_Toc11108"/>
      <w:bookmarkStart w:id="357" w:name="_Toc6349"/>
      <w:bookmarkStart w:id="358" w:name="_Toc7332"/>
      <w:bookmarkStart w:id="359" w:name="_Toc5896"/>
      <w:bookmarkStart w:id="360" w:name="_Toc20994"/>
      <w:bookmarkStart w:id="361" w:name="_Toc20705"/>
      <w:bookmarkStart w:id="362" w:name="_Toc25473"/>
      <w:bookmarkStart w:id="363" w:name="_Toc24463"/>
      <w:r>
        <w:rPr>
          <w:rFonts w:hint="eastAsia"/>
        </w:rPr>
        <w:t>苏住建价〔2012〕2号</w:t>
      </w:r>
      <w:bookmarkEnd w:id="353"/>
      <w:bookmarkEnd w:id="354"/>
      <w:bookmarkEnd w:id="355"/>
      <w:bookmarkEnd w:id="356"/>
      <w:bookmarkEnd w:id="357"/>
      <w:bookmarkEnd w:id="358"/>
      <w:bookmarkEnd w:id="359"/>
      <w:bookmarkEnd w:id="360"/>
      <w:bookmarkEnd w:id="361"/>
      <w:bookmarkEnd w:id="362"/>
      <w:bookmarkEnd w:id="363"/>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480" w:lineRule="exact"/>
        <w:ind w:firstLine="883"/>
        <w:rPr>
          <w:rFonts w:ascii="宋体" w:hAnsi="宋体" w:eastAsia="宋体"/>
          <w:b/>
          <w:sz w:val="44"/>
          <w:szCs w:val="44"/>
        </w:rPr>
      </w:pPr>
    </w:p>
    <w:p>
      <w:pPr>
        <w:pStyle w:val="3"/>
      </w:pPr>
      <w:bookmarkStart w:id="364" w:name="_Toc757"/>
      <w:bookmarkStart w:id="365" w:name="_Toc13221"/>
      <w:bookmarkStart w:id="366" w:name="_Toc12378"/>
      <w:bookmarkStart w:id="367" w:name="_Toc20878"/>
      <w:bookmarkStart w:id="368" w:name="_Toc31085"/>
      <w:bookmarkStart w:id="369" w:name="_Toc18868"/>
      <w:bookmarkStart w:id="370" w:name="_Toc6218"/>
      <w:bookmarkStart w:id="371" w:name="_Toc1404"/>
      <w:bookmarkStart w:id="372" w:name="_Toc26267"/>
      <w:bookmarkStart w:id="373" w:name="_Toc28011"/>
      <w:bookmarkStart w:id="374" w:name="_Toc12719"/>
      <w:bookmarkStart w:id="375" w:name="_Toc22317"/>
      <w:bookmarkStart w:id="376" w:name="_Toc23791"/>
      <w:bookmarkStart w:id="377" w:name="_Toc22140"/>
      <w:r>
        <w:rPr>
          <w:rFonts w:hint="eastAsia"/>
        </w:rPr>
        <w:t>关于转发省住建厅《关于调整建筑、装饰、安装、市政、修缮加固、城市轨道交通、仿古建筑及园林工程预算工资单价的通知》的通知</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pPr>
        <w:widowControl/>
        <w:spacing w:line="580" w:lineRule="exact"/>
        <w:ind w:firstLine="460"/>
        <w:jc w:val="center"/>
        <w:rPr>
          <w:rFonts w:ascii="ˎ̥" w:hAnsi="ˎ̥" w:cs="宋体"/>
          <w:color w:val="000000"/>
          <w:kern w:val="0"/>
          <w:sz w:val="23"/>
          <w:szCs w:val="23"/>
        </w:rPr>
      </w:pPr>
      <w:r>
        <w:rPr>
          <w:rFonts w:ascii="ˎ̥" w:hAnsi="ˎ̥" w:cs="宋体"/>
          <w:color w:val="000000"/>
          <w:kern w:val="0"/>
          <w:sz w:val="23"/>
          <w:szCs w:val="23"/>
        </w:rPr>
        <w:t> </w:t>
      </w:r>
    </w:p>
    <w:p>
      <w:pPr>
        <w:ind w:firstLine="0" w:firstLineChars="0"/>
      </w:pPr>
      <w:r>
        <w:rPr>
          <w:rFonts w:hint="eastAsia"/>
        </w:rPr>
        <w:t>各市、区住建局，苏州工业园区规划建设局，市各有关委办局：</w:t>
      </w:r>
    </w:p>
    <w:p>
      <w:pPr>
        <w:ind w:firstLine="560"/>
      </w:pPr>
      <w:r>
        <w:rPr>
          <w:rFonts w:hint="eastAsia"/>
        </w:rPr>
        <w:t>现将省住建厅《关于调整建筑、装饰、安装、市政、修缮加固、城市轨道交通、仿古建筑及园林工程预算工资单价的通知》（苏建价〔2011〕812号）转发给你们。预算工资单价调整属于政策性调整，承包人不应承担此风险，具体调整办法按照省住建厅规定执行。</w:t>
      </w:r>
    </w:p>
    <w:p>
      <w:pPr>
        <w:ind w:firstLine="560"/>
      </w:pPr>
    </w:p>
    <w:p>
      <w:pPr>
        <w:ind w:firstLine="560"/>
      </w:pPr>
      <w:r>
        <w:rPr>
          <w:rFonts w:hint="eastAsia"/>
        </w:rPr>
        <w:t>附件：《关于调整建筑、装饰、安装、市政、修缮加固、城市轨道交通、仿古建筑及园林工程预算工资单价的通知》（苏建价〔2011〕812号）</w:t>
      </w:r>
    </w:p>
    <w:p>
      <w:pPr>
        <w:ind w:firstLine="560"/>
      </w:pPr>
    </w:p>
    <w:p>
      <w:pPr>
        <w:ind w:firstLine="560"/>
        <w:jc w:val="right"/>
      </w:pPr>
      <w:r>
        <w:rPr>
          <w:rFonts w:hint="eastAsia"/>
        </w:rPr>
        <w:t>二○一二年一月九日</w:t>
      </w:r>
    </w:p>
    <w:p>
      <w:pPr>
        <w:widowControl/>
        <w:spacing w:line="420" w:lineRule="atLeast"/>
        <w:ind w:firstLine="0" w:firstLineChars="0"/>
        <w:jc w:val="left"/>
        <w:rPr>
          <w:rFonts w:ascii="ˎ̥" w:hAnsi="ˎ̥" w:eastAsia="宋体" w:cs="宋体"/>
          <w:color w:val="000000"/>
          <w:kern w:val="0"/>
          <w:sz w:val="27"/>
          <w:szCs w:val="27"/>
        </w:rPr>
      </w:pPr>
      <w:r>
        <w:rPr>
          <w:rFonts w:hint="eastAsia" w:ascii="ˎ̥" w:hAnsi="ˎ̥" w:eastAsia="宋体" w:cs="宋体"/>
          <w:color w:val="000000"/>
          <w:kern w:val="0"/>
          <w:sz w:val="27"/>
          <w:szCs w:val="27"/>
        </w:rPr>
        <w:t>附件：</w:t>
      </w:r>
      <w:r>
        <w:rPr>
          <w:rFonts w:ascii="ˎ̥" w:hAnsi="ˎ̥" w:eastAsia="宋体" w:cs="宋体"/>
          <w:color w:val="000000"/>
          <w:kern w:val="0"/>
          <w:sz w:val="27"/>
          <w:szCs w:val="27"/>
        </w:rPr>
        <w:drawing>
          <wp:inline distT="0" distB="0" distL="0" distR="0">
            <wp:extent cx="5647055" cy="8286115"/>
            <wp:effectExtent l="0" t="0" r="10795" b="635"/>
            <wp:docPr id="8" name="图片 8" descr="C:\Users\Administrator\Desktop\苏住建价〔2012〕2号附件-关于调整建筑、装饰、安装、市政、修缮加固、城市轨道交通、仿古建筑及园林工程预算工资单价的通知\苏住建价〔2012〕2号附件-关于调整建筑、装饰、安装、市政、修缮加固、城市轨道交通、仿古建筑及园林工程预算工资单价的通知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苏住建价〔2012〕2号附件-关于调整建筑、装饰、安装、市政、修缮加固、城市轨道交通、仿古建筑及园林工程预算工资单价的通知\苏住建价〔2012〕2号附件-关于调整建筑、装饰、安装、市政、修缮加固、城市轨道交通、仿古建筑及园林工程预算工资单价的通知_1.png"/>
                    <pic:cNvPicPr>
                      <a:picLocks noChangeAspect="1" noChangeArrowheads="1"/>
                    </pic:cNvPicPr>
                  </pic:nvPicPr>
                  <pic:blipFill>
                    <a:blip r:embed="rId33" cstate="print">
                      <a:extLst>
                        <a:ext uri="{28A0092B-C50C-407E-A947-70E740481C1C}">
                          <a14:useLocalDpi xmlns:a14="http://schemas.microsoft.com/office/drawing/2010/main" val="0"/>
                        </a:ext>
                      </a:extLst>
                    </a:blip>
                    <a:srcRect l="5655" r="6427" b="2799"/>
                    <a:stretch>
                      <a:fillRect/>
                    </a:stretch>
                  </pic:blipFill>
                  <pic:spPr>
                    <a:xfrm>
                      <a:off x="0" y="0"/>
                      <a:ext cx="5647055" cy="8286115"/>
                    </a:xfrm>
                    <a:prstGeom prst="rect">
                      <a:avLst/>
                    </a:prstGeom>
                    <a:noFill/>
                    <a:ln>
                      <a:noFill/>
                    </a:ln>
                  </pic:spPr>
                </pic:pic>
              </a:graphicData>
            </a:graphic>
          </wp:inline>
        </w:drawing>
      </w:r>
      <w:r>
        <w:rPr>
          <w:rFonts w:ascii="ˎ̥" w:hAnsi="ˎ̥" w:eastAsia="宋体" w:cs="宋体"/>
          <w:color w:val="000000"/>
          <w:kern w:val="0"/>
          <w:sz w:val="27"/>
          <w:szCs w:val="27"/>
        </w:rPr>
        <w:drawing>
          <wp:inline distT="0" distB="0" distL="0" distR="0">
            <wp:extent cx="5576570" cy="8141335"/>
            <wp:effectExtent l="0" t="0" r="5080" b="12065"/>
            <wp:docPr id="9" name="图片 9" descr="C:\Users\Administrator\Desktop\苏住建价〔2012〕2号附件-关于调整建筑、装饰、安装、市政、修缮加固、城市轨道交通、仿古建筑及园林工程预算工资单价的通知\苏住建价〔2012〕2号附件-关于调整建筑、装饰、安装、市政、修缮加固、城市轨道交通、仿古建筑及园林工程预算工资单价的通知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苏住建价〔2012〕2号附件-关于调整建筑、装饰、安装、市政、修缮加固、城市轨道交通、仿古建筑及园林工程预算工资单价的通知\苏住建价〔2012〕2号附件-关于调整建筑、装饰、安装、市政、修缮加固、城市轨道交通、仿古建筑及园林工程预算工资单价的通知_2.png"/>
                    <pic:cNvPicPr>
                      <a:picLocks noChangeAspect="1" noChangeArrowheads="1"/>
                    </pic:cNvPicPr>
                  </pic:nvPicPr>
                  <pic:blipFill>
                    <a:blip r:embed="rId34" cstate="print">
                      <a:extLst>
                        <a:ext uri="{28A0092B-C50C-407E-A947-70E740481C1C}">
                          <a14:useLocalDpi xmlns:a14="http://schemas.microsoft.com/office/drawing/2010/main" val="0"/>
                        </a:ext>
                      </a:extLst>
                    </a:blip>
                    <a:srcRect l="5269" t="6245" r="7418" b="4153"/>
                    <a:stretch>
                      <a:fillRect/>
                    </a:stretch>
                  </pic:blipFill>
                  <pic:spPr>
                    <a:xfrm>
                      <a:off x="0" y="0"/>
                      <a:ext cx="5576570" cy="8141335"/>
                    </a:xfrm>
                    <a:prstGeom prst="rect">
                      <a:avLst/>
                    </a:prstGeom>
                    <a:noFill/>
                    <a:ln>
                      <a:noFill/>
                    </a:ln>
                  </pic:spPr>
                </pic:pic>
              </a:graphicData>
            </a:graphic>
          </wp:inline>
        </w:drawing>
      </w:r>
      <w:r>
        <w:rPr>
          <w:rFonts w:ascii="ˎ̥" w:hAnsi="ˎ̥" w:eastAsia="宋体" w:cs="宋体"/>
          <w:color w:val="000000"/>
          <w:kern w:val="0"/>
          <w:sz w:val="27"/>
          <w:szCs w:val="27"/>
        </w:rPr>
        <w:drawing>
          <wp:inline distT="0" distB="0" distL="0" distR="0">
            <wp:extent cx="5815330" cy="8140700"/>
            <wp:effectExtent l="0" t="0" r="13970" b="12700"/>
            <wp:docPr id="10" name="图片 10" descr="C:\Users\Administrator\Desktop\苏住建价〔2012〕2号附件-关于调整建筑、装饰、安装、市政、修缮加固、城市轨道交通、仿古建筑及园林工程预算工资单价的通知\苏住建价〔2012〕2号附件-关于调整建筑、装饰、安装、市政、修缮加固、城市轨道交通、仿古建筑及园林工程预算工资单价的通知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苏住建价〔2012〕2号附件-关于调整建筑、装饰、安装、市政、修缮加固、城市轨道交通、仿古建筑及园林工程预算工资单价的通知\苏住建价〔2012〕2号附件-关于调整建筑、装饰、安装、市政、修缮加固、城市轨道交通、仿古建筑及园林工程预算工资单价的通知_3.png"/>
                    <pic:cNvPicPr>
                      <a:picLocks noChangeAspect="1" noChangeArrowheads="1"/>
                    </pic:cNvPicPr>
                  </pic:nvPicPr>
                  <pic:blipFill>
                    <a:blip r:embed="rId35" cstate="print">
                      <a:extLst>
                        <a:ext uri="{28A0092B-C50C-407E-A947-70E740481C1C}">
                          <a14:useLocalDpi xmlns:a14="http://schemas.microsoft.com/office/drawing/2010/main" val="0"/>
                        </a:ext>
                      </a:extLst>
                    </a:blip>
                    <a:srcRect l="4001" t="8973" r="5820" b="2294"/>
                    <a:stretch>
                      <a:fillRect/>
                    </a:stretch>
                  </pic:blipFill>
                  <pic:spPr>
                    <a:xfrm>
                      <a:off x="0" y="0"/>
                      <a:ext cx="5815330" cy="8140700"/>
                    </a:xfrm>
                    <a:prstGeom prst="rect">
                      <a:avLst/>
                    </a:prstGeom>
                    <a:noFill/>
                    <a:ln>
                      <a:noFill/>
                    </a:ln>
                  </pic:spPr>
                </pic:pic>
              </a:graphicData>
            </a:graphic>
          </wp:inline>
        </w:drawing>
      </w:r>
    </w:p>
    <w:p>
      <w:pPr>
        <w:pStyle w:val="2"/>
        <w:numPr>
          <w:ilvl w:val="0"/>
          <w:numId w:val="0"/>
        </w:numPr>
        <w:ind w:left="780" w:hanging="360"/>
      </w:pPr>
    </w:p>
    <w:p>
      <w:pPr>
        <w:ind w:firstLine="560"/>
        <w:rPr>
          <w:rFonts w:ascii="仿宋_GB2312"/>
        </w:rPr>
      </w:pPr>
      <w:r>
        <w:rPr>
          <w:rFonts w:ascii="仿宋_GB2312"/>
        </w:rPr>
        <w:drawing>
          <wp:anchor distT="0" distB="0" distL="114300" distR="114300" simplePos="0" relativeHeight="251661312" behindDoc="1" locked="0" layoutInCell="1" allowOverlap="1">
            <wp:simplePos x="0" y="0"/>
            <wp:positionH relativeFrom="column">
              <wp:posOffset>-914400</wp:posOffset>
            </wp:positionH>
            <wp:positionV relativeFrom="paragraph">
              <wp:posOffset>-357505</wp:posOffset>
            </wp:positionV>
            <wp:extent cx="7492365" cy="2499360"/>
            <wp:effectExtent l="0" t="0" r="0" b="15875"/>
            <wp:wrapNone/>
            <wp:docPr id="7" name="图片 7"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t="40228" r="932"/>
                    <a:stretch>
                      <a:fillRect/>
                    </a:stretch>
                  </pic:blipFill>
                  <pic:spPr>
                    <a:xfrm>
                      <a:off x="0" y="0"/>
                      <a:ext cx="7492365" cy="2499360"/>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pStyle w:val="4"/>
      </w:pPr>
      <w:bookmarkStart w:id="378" w:name="_Toc12251"/>
      <w:bookmarkStart w:id="379" w:name="_Toc30252"/>
      <w:bookmarkStart w:id="380" w:name="_Toc32574"/>
      <w:bookmarkStart w:id="381" w:name="_Toc23614"/>
      <w:bookmarkStart w:id="382" w:name="_Toc28385"/>
      <w:bookmarkStart w:id="383" w:name="_Toc23731"/>
      <w:bookmarkStart w:id="384" w:name="_Toc22203"/>
      <w:bookmarkStart w:id="385" w:name="_Toc20550"/>
      <w:bookmarkStart w:id="386" w:name="_Toc25872"/>
      <w:bookmarkStart w:id="387" w:name="_Toc27036"/>
      <w:bookmarkStart w:id="388" w:name="_Toc16023"/>
      <w:bookmarkStart w:id="389" w:name="_Toc32236"/>
      <w:r>
        <w:rPr>
          <w:rFonts w:hint="eastAsia"/>
        </w:rPr>
        <w:t>苏住建价〔2012〕17号</w:t>
      </w:r>
      <w:bookmarkEnd w:id="378"/>
      <w:bookmarkEnd w:id="379"/>
      <w:bookmarkEnd w:id="380"/>
      <w:bookmarkEnd w:id="381"/>
      <w:bookmarkEnd w:id="382"/>
      <w:bookmarkEnd w:id="383"/>
      <w:bookmarkEnd w:id="384"/>
      <w:bookmarkEnd w:id="385"/>
      <w:bookmarkEnd w:id="386"/>
      <w:bookmarkEnd w:id="387"/>
      <w:bookmarkEnd w:id="388"/>
      <w:bookmarkEnd w:id="389"/>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480" w:lineRule="exact"/>
        <w:ind w:firstLine="883"/>
        <w:rPr>
          <w:rFonts w:ascii="宋体" w:hAnsi="宋体" w:eastAsia="宋体"/>
          <w:b/>
          <w:sz w:val="44"/>
          <w:szCs w:val="44"/>
        </w:rPr>
      </w:pPr>
    </w:p>
    <w:p>
      <w:pPr>
        <w:pStyle w:val="3"/>
      </w:pPr>
      <w:bookmarkStart w:id="390" w:name="_Toc23665"/>
      <w:bookmarkStart w:id="391" w:name="_Toc27355"/>
      <w:bookmarkStart w:id="392" w:name="_Toc19270"/>
      <w:bookmarkStart w:id="393" w:name="_Toc15389"/>
      <w:bookmarkStart w:id="394" w:name="_Toc15652"/>
      <w:bookmarkStart w:id="395" w:name="_Toc9980"/>
      <w:bookmarkStart w:id="396" w:name="_Toc14063"/>
      <w:bookmarkStart w:id="397" w:name="_Toc11411"/>
      <w:bookmarkStart w:id="398" w:name="_Toc20237"/>
      <w:bookmarkStart w:id="399" w:name="_Toc19147"/>
      <w:bookmarkStart w:id="400" w:name="_Toc20583"/>
      <w:bookmarkStart w:id="401" w:name="_Toc28346"/>
      <w:bookmarkStart w:id="402" w:name="_Toc7466"/>
      <w:bookmarkStart w:id="403" w:name="_Toc31571"/>
      <w:r>
        <w:rPr>
          <w:rFonts w:hint="eastAsia"/>
        </w:rPr>
        <w:t>关于转发省住房和城乡建设厅《关于对建设工程人工工资单价实行动态管理的通知》的通知</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pPr>
        <w:ind w:firstLine="0" w:firstLineChars="0"/>
      </w:pPr>
    </w:p>
    <w:p>
      <w:pPr>
        <w:ind w:firstLine="0" w:firstLineChars="0"/>
      </w:pPr>
      <w:r>
        <w:rPr>
          <w:rFonts w:hint="eastAsia"/>
        </w:rPr>
        <w:t>各市、区住建局，苏州工业园区规划建设局，市各有关单位：</w:t>
      </w:r>
    </w:p>
    <w:p>
      <w:pPr>
        <w:ind w:firstLine="560"/>
      </w:pPr>
      <w:r>
        <w:rPr>
          <w:rFonts w:hint="eastAsia"/>
        </w:rPr>
        <w:t>现将省住房和城乡建设厅《关于对建设工程人工工资单价实行动态管理的通知》（苏建价〔2012〕633号）转发给你们。</w:t>
      </w:r>
    </w:p>
    <w:p>
      <w:pPr>
        <w:ind w:firstLine="560"/>
      </w:pPr>
      <w:r>
        <w:rPr>
          <w:rFonts w:hint="eastAsia"/>
        </w:rPr>
        <w:t>根据省住建厅文件精神，建设工程人工工资单价将由政策性调整改为实行动态管理，并将每年发布不少于两次指导价。人工工资单价实行动态管理后，建设单位应在招标文件中考虑人工工资指导价调整因素，承发包双方应在施工合同中明确约定施工期间人工工资指导价差价调整方法。我局将另行发文，出台差价调整指导意见。</w:t>
      </w:r>
    </w:p>
    <w:p>
      <w:pPr>
        <w:ind w:firstLine="560"/>
      </w:pPr>
    </w:p>
    <w:p>
      <w:pPr>
        <w:ind w:firstLine="560"/>
      </w:pPr>
      <w:r>
        <w:fldChar w:fldCharType="begin"/>
      </w:r>
      <w:r>
        <w:instrText xml:space="preserve"> HYPERLINK "http://www.szjs.net/ZhuJian/userfiles/file/2010-14附件.pdf" </w:instrText>
      </w:r>
      <w:r>
        <w:fldChar w:fldCharType="separate"/>
      </w:r>
      <w:r>
        <w:rPr>
          <w:rStyle w:val="27"/>
          <w:rFonts w:hint="eastAsia" w:ascii="仿宋_GB2312"/>
          <w:szCs w:val="32"/>
        </w:rPr>
        <w:t>附件</w:t>
      </w:r>
      <w:r>
        <w:rPr>
          <w:rStyle w:val="27"/>
          <w:rFonts w:hint="eastAsia" w:ascii="仿宋_GB2312"/>
          <w:szCs w:val="32"/>
        </w:rPr>
        <w:fldChar w:fldCharType="end"/>
      </w:r>
      <w:r>
        <w:rPr>
          <w:rFonts w:hint="eastAsia"/>
        </w:rPr>
        <w:t>：省住房和城乡建设厅《关于对建设工程人工工资单价实行动态管理的通知》（苏建价〔2012〕633号）</w:t>
      </w:r>
    </w:p>
    <w:p>
      <w:pPr>
        <w:ind w:firstLine="560"/>
      </w:pPr>
    </w:p>
    <w:p>
      <w:pPr>
        <w:ind w:firstLine="560"/>
        <w:jc w:val="right"/>
      </w:pPr>
      <w:r>
        <w:rPr>
          <w:rFonts w:hint="eastAsia"/>
        </w:rPr>
        <w:t>二○一二年十一月二十七日</w:t>
      </w:r>
    </w:p>
    <w:p>
      <w:pPr>
        <w:widowControl/>
        <w:spacing w:after="360" w:afterLines="150" w:line="500" w:lineRule="atLeast"/>
        <w:ind w:firstLine="576"/>
        <w:jc w:val="right"/>
        <w:rPr>
          <w:rFonts w:ascii="仿宋_GB2312"/>
          <w:spacing w:val="4"/>
          <w:szCs w:val="32"/>
        </w:rPr>
      </w:pPr>
    </w:p>
    <w:p>
      <w:pPr>
        <w:pStyle w:val="2"/>
        <w:numPr>
          <w:ilvl w:val="0"/>
          <w:numId w:val="0"/>
        </w:numPr>
        <w:spacing w:line="240" w:lineRule="auto"/>
        <w:rPr>
          <w:sz w:val="28"/>
          <w:szCs w:val="28"/>
        </w:rPr>
      </w:pPr>
      <w:r>
        <w:rPr>
          <w:rFonts w:hint="eastAsia" w:ascii="仿宋_GB2312" w:hAnsi="仿宋_GB2312" w:eastAsia="仿宋_GB2312" w:cs="仿宋_GB2312"/>
          <w:sz w:val="28"/>
          <w:szCs w:val="28"/>
        </w:rPr>
        <w:t>附件：</w:t>
      </w:r>
    </w:p>
    <w:p>
      <w:pPr>
        <w:pStyle w:val="2"/>
        <w:numPr>
          <w:ilvl w:val="0"/>
          <w:numId w:val="0"/>
        </w:numPr>
        <w:tabs>
          <w:tab w:val="left" w:pos="0"/>
        </w:tabs>
        <w:spacing w:line="240" w:lineRule="auto"/>
        <w:ind w:left="284" w:hanging="284"/>
      </w:pPr>
    </w:p>
    <w:p>
      <w:pPr>
        <w:pStyle w:val="2"/>
        <w:numPr>
          <w:ilvl w:val="0"/>
          <w:numId w:val="0"/>
        </w:numPr>
        <w:tabs>
          <w:tab w:val="left" w:pos="0"/>
        </w:tabs>
        <w:spacing w:line="240" w:lineRule="auto"/>
        <w:ind w:left="284" w:hanging="284"/>
      </w:pPr>
      <w:r>
        <w:drawing>
          <wp:inline distT="0" distB="0" distL="0" distR="0">
            <wp:extent cx="5528310" cy="7644765"/>
            <wp:effectExtent l="0" t="0" r="15240" b="13335"/>
            <wp:docPr id="110" name="图片 110" descr="C:\Users\Administrator\Desktop\附件-人工费动态管理文件[1]\附件-人工费动态管理文件[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Administrator\Desktop\附件-人工费动态管理文件[1]\附件-人工费动态管理文件[1]_1.png"/>
                    <pic:cNvPicPr>
                      <a:picLocks noChangeAspect="1" noChangeArrowheads="1"/>
                    </pic:cNvPicPr>
                  </pic:nvPicPr>
                  <pic:blipFill>
                    <a:blip r:embed="rId36" cstate="print">
                      <a:extLst>
                        <a:ext uri="{28A0092B-C50C-407E-A947-70E740481C1C}">
                          <a14:useLocalDpi xmlns:a14="http://schemas.microsoft.com/office/drawing/2010/main" val="0"/>
                        </a:ext>
                      </a:extLst>
                    </a:blip>
                    <a:srcRect l="11232" t="9275" r="1268" b="5094"/>
                    <a:stretch>
                      <a:fillRect/>
                    </a:stretch>
                  </pic:blipFill>
                  <pic:spPr>
                    <a:xfrm>
                      <a:off x="0" y="0"/>
                      <a:ext cx="5528310" cy="7644765"/>
                    </a:xfrm>
                    <a:prstGeom prst="rect">
                      <a:avLst/>
                    </a:prstGeom>
                    <a:noFill/>
                    <a:ln>
                      <a:noFill/>
                    </a:ln>
                  </pic:spPr>
                </pic:pic>
              </a:graphicData>
            </a:graphic>
          </wp:inline>
        </w:drawing>
      </w:r>
      <w:r>
        <w:drawing>
          <wp:inline distT="0" distB="0" distL="0" distR="0">
            <wp:extent cx="5383530" cy="8091805"/>
            <wp:effectExtent l="0" t="0" r="7620" b="4445"/>
            <wp:docPr id="111" name="图片 111" descr="C:\Users\Administrator\Desktop\附件-人工费动态管理文件[1]\附件-人工费动态管理文件[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Administrator\Desktop\附件-人工费动态管理文件[1]\附件-人工费动态管理文件[1]_2.png"/>
                    <pic:cNvPicPr>
                      <a:picLocks noChangeAspect="1" noChangeArrowheads="1"/>
                    </pic:cNvPicPr>
                  </pic:nvPicPr>
                  <pic:blipFill>
                    <a:blip r:embed="rId37" cstate="print">
                      <a:extLst>
                        <a:ext uri="{28A0092B-C50C-407E-A947-70E740481C1C}">
                          <a14:useLocalDpi xmlns:a14="http://schemas.microsoft.com/office/drawing/2010/main" val="0"/>
                        </a:ext>
                      </a:extLst>
                    </a:blip>
                    <a:srcRect l="15983" t="9751" r="4167" b="5320"/>
                    <a:stretch>
                      <a:fillRect/>
                    </a:stretch>
                  </pic:blipFill>
                  <pic:spPr>
                    <a:xfrm>
                      <a:off x="0" y="0"/>
                      <a:ext cx="5383530" cy="8091805"/>
                    </a:xfrm>
                    <a:prstGeom prst="rect">
                      <a:avLst/>
                    </a:prstGeom>
                    <a:noFill/>
                    <a:ln>
                      <a:noFill/>
                    </a:ln>
                  </pic:spPr>
                </pic:pic>
              </a:graphicData>
            </a:graphic>
          </wp:inline>
        </w:drawing>
      </w:r>
      <w:r>
        <w:drawing>
          <wp:inline distT="0" distB="0" distL="0" distR="0">
            <wp:extent cx="5419090" cy="7910195"/>
            <wp:effectExtent l="0" t="0" r="10160" b="14605"/>
            <wp:docPr id="112" name="图片 112" descr="C:\Users\Administrator\Desktop\附件-人工费动态管理文件[1]\附件-人工费动态管理文件[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Administrator\Desktop\附件-人工费动态管理文件[1]\附件-人工费动态管理文件[1]_3.png"/>
                    <pic:cNvPicPr>
                      <a:picLocks noChangeAspect="1" noChangeArrowheads="1"/>
                    </pic:cNvPicPr>
                  </pic:nvPicPr>
                  <pic:blipFill>
                    <a:blip r:embed="rId38" cstate="print">
                      <a:extLst>
                        <a:ext uri="{28A0092B-C50C-407E-A947-70E740481C1C}">
                          <a14:useLocalDpi xmlns:a14="http://schemas.microsoft.com/office/drawing/2010/main" val="0"/>
                        </a:ext>
                      </a:extLst>
                    </a:blip>
                    <a:srcRect l="16369" t="10625" r="3395" b="6490"/>
                    <a:stretch>
                      <a:fillRect/>
                    </a:stretch>
                  </pic:blipFill>
                  <pic:spPr>
                    <a:xfrm>
                      <a:off x="0" y="0"/>
                      <a:ext cx="5419090" cy="7910195"/>
                    </a:xfrm>
                    <a:prstGeom prst="rect">
                      <a:avLst/>
                    </a:prstGeom>
                    <a:noFill/>
                    <a:ln>
                      <a:noFill/>
                    </a:ln>
                  </pic:spPr>
                </pic:pic>
              </a:graphicData>
            </a:graphic>
          </wp:inline>
        </w:drawing>
      </w:r>
      <w:r>
        <w:drawing>
          <wp:inline distT="0" distB="0" distL="0" distR="0">
            <wp:extent cx="5394960" cy="8270240"/>
            <wp:effectExtent l="0" t="0" r="15240" b="16510"/>
            <wp:docPr id="113" name="图片 113" descr="C:\Users\Administrator\Desktop\附件-人工费动态管理文件[1]\附件-人工费动态管理文件[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Administrator\Desktop\附件-人工费动态管理文件[1]\附件-人工费动态管理文件[1]_4.png"/>
                    <pic:cNvPicPr>
                      <a:picLocks noChangeAspect="1" noChangeArrowheads="1"/>
                    </pic:cNvPicPr>
                  </pic:nvPicPr>
                  <pic:blipFill>
                    <a:blip r:embed="rId39" cstate="print">
                      <a:extLst>
                        <a:ext uri="{28A0092B-C50C-407E-A947-70E740481C1C}">
                          <a14:useLocalDpi xmlns:a14="http://schemas.microsoft.com/office/drawing/2010/main" val="0"/>
                        </a:ext>
                      </a:extLst>
                    </a:blip>
                    <a:srcRect l="14947" t="2925" r="1069" b="5968"/>
                    <a:stretch>
                      <a:fillRect/>
                    </a:stretch>
                  </pic:blipFill>
                  <pic:spPr>
                    <a:xfrm>
                      <a:off x="0" y="0"/>
                      <a:ext cx="5394960" cy="8270240"/>
                    </a:xfrm>
                    <a:prstGeom prst="rect">
                      <a:avLst/>
                    </a:prstGeom>
                    <a:noFill/>
                    <a:ln>
                      <a:noFill/>
                    </a:ln>
                  </pic:spPr>
                </pic:pic>
              </a:graphicData>
            </a:graphic>
          </wp:inline>
        </w:drawing>
      </w:r>
    </w:p>
    <w:p>
      <w:pPr>
        <w:ind w:firstLine="560"/>
        <w:rPr>
          <w:rFonts w:ascii="仿宋_GB2312"/>
        </w:rPr>
      </w:pPr>
    </w:p>
    <w:p>
      <w:pPr>
        <w:ind w:firstLine="560"/>
        <w:rPr>
          <w:rFonts w:ascii="仿宋_GB2312"/>
        </w:rPr>
      </w:pPr>
      <w:r>
        <w:rPr>
          <w:rFonts w:ascii="仿宋_GB2312"/>
        </w:rPr>
        <w:drawing>
          <wp:anchor distT="0" distB="0" distL="114300" distR="114300" simplePos="0" relativeHeight="251660288" behindDoc="1" locked="0" layoutInCell="1" allowOverlap="1">
            <wp:simplePos x="0" y="0"/>
            <wp:positionH relativeFrom="column">
              <wp:posOffset>-914400</wp:posOffset>
            </wp:positionH>
            <wp:positionV relativeFrom="paragraph">
              <wp:posOffset>52705</wp:posOffset>
            </wp:positionV>
            <wp:extent cx="7562850" cy="2395220"/>
            <wp:effectExtent l="0" t="0" r="0" b="4445"/>
            <wp:wrapNone/>
            <wp:docPr id="5" name="图片 5"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t="42718"/>
                    <a:stretch>
                      <a:fillRect/>
                    </a:stretch>
                  </pic:blipFill>
                  <pic:spPr>
                    <a:xfrm>
                      <a:off x="0" y="0"/>
                      <a:ext cx="7562850" cy="2395220"/>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pStyle w:val="4"/>
      </w:pPr>
      <w:bookmarkStart w:id="404" w:name="_Toc26233"/>
      <w:bookmarkStart w:id="405" w:name="_Toc19433"/>
      <w:bookmarkStart w:id="406" w:name="_Toc17548"/>
      <w:bookmarkStart w:id="407" w:name="_Toc29354"/>
      <w:bookmarkStart w:id="408" w:name="_Toc562"/>
      <w:bookmarkStart w:id="409" w:name="_Toc2333"/>
      <w:bookmarkStart w:id="410" w:name="_Toc28966"/>
      <w:bookmarkStart w:id="411" w:name="_Toc13632"/>
      <w:bookmarkStart w:id="412" w:name="_Toc1048"/>
      <w:bookmarkStart w:id="413" w:name="_Toc9397"/>
      <w:bookmarkStart w:id="414" w:name="_Toc10047"/>
      <w:bookmarkStart w:id="415" w:name="_Toc8601"/>
      <w:r>
        <w:rPr>
          <w:rFonts w:hint="eastAsia"/>
        </w:rPr>
        <w:t>苏住建价〔2012〕19号</w:t>
      </w:r>
      <w:bookmarkEnd w:id="404"/>
      <w:bookmarkEnd w:id="405"/>
      <w:bookmarkEnd w:id="406"/>
      <w:bookmarkEnd w:id="407"/>
      <w:bookmarkEnd w:id="408"/>
      <w:bookmarkEnd w:id="409"/>
      <w:bookmarkEnd w:id="410"/>
      <w:bookmarkEnd w:id="411"/>
      <w:bookmarkEnd w:id="412"/>
      <w:bookmarkEnd w:id="413"/>
      <w:bookmarkEnd w:id="414"/>
      <w:bookmarkEnd w:id="415"/>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ind w:firstLine="843"/>
        <w:jc w:val="center"/>
        <w:rPr>
          <w:rFonts w:ascii="宋体" w:hAnsi="宋体" w:eastAsia="宋体"/>
          <w:b/>
          <w:spacing w:val="-10"/>
          <w:sz w:val="44"/>
          <w:szCs w:val="44"/>
        </w:rPr>
      </w:pPr>
    </w:p>
    <w:p>
      <w:pPr>
        <w:pStyle w:val="3"/>
      </w:pPr>
      <w:bookmarkStart w:id="416" w:name="_Toc30149"/>
      <w:bookmarkStart w:id="417" w:name="_Toc13366"/>
      <w:bookmarkStart w:id="418" w:name="_Toc25230"/>
      <w:bookmarkStart w:id="419" w:name="_Toc3435"/>
      <w:bookmarkStart w:id="420" w:name="_Toc12266"/>
      <w:bookmarkStart w:id="421" w:name="_Toc3587"/>
      <w:bookmarkStart w:id="422" w:name="_Toc17203"/>
      <w:bookmarkStart w:id="423" w:name="_Toc32310"/>
      <w:bookmarkStart w:id="424" w:name="_Toc172"/>
      <w:bookmarkStart w:id="425" w:name="_Toc14829"/>
      <w:bookmarkStart w:id="426" w:name="_Toc27269"/>
      <w:bookmarkStart w:id="427" w:name="_Toc26060"/>
      <w:bookmarkStart w:id="428" w:name="_Toc10818"/>
      <w:bookmarkStart w:id="429" w:name="_Toc21322"/>
      <w:r>
        <w:rPr>
          <w:rFonts w:hint="eastAsia"/>
        </w:rPr>
        <w:t>关于我市建设工程竣工结算差价调整的</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p>
      <w:pPr>
        <w:pStyle w:val="3"/>
      </w:pPr>
      <w:bookmarkStart w:id="430" w:name="_Toc13576"/>
      <w:bookmarkStart w:id="431" w:name="_Toc18104"/>
      <w:bookmarkStart w:id="432" w:name="_Toc5585"/>
      <w:bookmarkStart w:id="433" w:name="_Toc2817"/>
      <w:bookmarkStart w:id="434" w:name="_Toc4976"/>
      <w:bookmarkStart w:id="435" w:name="_Toc3699"/>
      <w:bookmarkStart w:id="436" w:name="_Toc25169"/>
      <w:bookmarkStart w:id="437" w:name="_Toc13537"/>
      <w:bookmarkStart w:id="438" w:name="_Toc16634"/>
      <w:bookmarkStart w:id="439" w:name="_Toc32166"/>
      <w:bookmarkStart w:id="440" w:name="_Toc17431"/>
      <w:bookmarkStart w:id="441" w:name="_Toc23197"/>
      <w:bookmarkStart w:id="442" w:name="_Toc2745"/>
      <w:bookmarkStart w:id="443" w:name="_Toc9551"/>
      <w:r>
        <w:rPr>
          <w:rFonts w:hint="eastAsia"/>
        </w:rPr>
        <w:t>指导意见</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pPr>
        <w:spacing w:line="440" w:lineRule="exact"/>
        <w:ind w:firstLine="560"/>
        <w:rPr>
          <w:rFonts w:ascii="仿宋_GB2312" w:hAnsi="仿宋"/>
          <w:szCs w:val="32"/>
        </w:rPr>
      </w:pPr>
    </w:p>
    <w:p>
      <w:pPr>
        <w:ind w:firstLine="0" w:firstLineChars="0"/>
      </w:pPr>
      <w:r>
        <w:rPr>
          <w:rFonts w:hint="eastAsia"/>
        </w:rPr>
        <w:t>各市、区住建局，苏州工业园区规划建设局，市各有关部门：</w:t>
      </w:r>
    </w:p>
    <w:p>
      <w:pPr>
        <w:ind w:firstLine="560"/>
      </w:pPr>
      <w:r>
        <w:rPr>
          <w:rFonts w:hint="eastAsia"/>
        </w:rPr>
        <w:t>为规范工程造价计价行为，合理确定和有效控制工程造价，维护建设工程发承包双方的合法权益，同时为保障发承包双方工程竣工结算工作的顺利进行，现对我市建设工程竣工结算差价调整提出如下指导意见：</w:t>
      </w:r>
    </w:p>
    <w:p>
      <w:pPr>
        <w:ind w:firstLine="560"/>
      </w:pPr>
      <w:r>
        <w:rPr>
          <w:rFonts w:hint="eastAsia"/>
        </w:rPr>
        <w:t>一、建设工程造价极易受到市场价格变化的影响，特别是当构成工程造价的人工、材料、机械等要素的市场价格大幅波动时，将给发承包双方带来很大的风险，严重影响施工合同的正常履行。因此，发承包双方在招投标和施工合同签订过程中，应增强风险防范意识，签订合理的价格风险分担条款。</w:t>
      </w:r>
    </w:p>
    <w:p>
      <w:pPr>
        <w:ind w:firstLine="560"/>
      </w:pPr>
      <w:r>
        <w:rPr>
          <w:rFonts w:hint="eastAsia"/>
        </w:rPr>
        <w:t>二、发承包双方应当在施工合同中事先明确约定差价调整办法，竣工结算时，按合同约定的条款调整差价。主要条款包括：</w:t>
      </w:r>
    </w:p>
    <w:p>
      <w:pPr>
        <w:ind w:firstLine="560"/>
      </w:pPr>
      <w:r>
        <w:rPr>
          <w:rFonts w:hint="eastAsia"/>
        </w:rPr>
        <w:t>1.可调价要素的类别名称，例如：人工、钢材、砼、水泥、电线、电缆、沥青、石材、铝合金等等。可调价要素的确定应以其价值占工程造价比重较大、其价格波动对工程造价影响明显者为原则；</w:t>
      </w:r>
    </w:p>
    <w:p>
      <w:pPr>
        <w:ind w:firstLine="560"/>
      </w:pPr>
      <w:r>
        <w:rPr>
          <w:rFonts w:hint="eastAsia"/>
        </w:rPr>
        <w:t>2.承包人承担的可调价要素的风险幅度；</w:t>
      </w:r>
    </w:p>
    <w:p>
      <w:pPr>
        <w:spacing w:line="500" w:lineRule="exact"/>
        <w:ind w:firstLine="560"/>
      </w:pPr>
      <w:r>
        <w:rPr>
          <w:rFonts w:hint="eastAsia"/>
        </w:rPr>
        <w:t>3.超过合同约定的风险幅度值时的调整方法。</w:t>
      </w:r>
    </w:p>
    <w:p>
      <w:pPr>
        <w:spacing w:line="500" w:lineRule="exact"/>
        <w:ind w:firstLine="560"/>
      </w:pPr>
      <w:r>
        <w:rPr>
          <w:rFonts w:hint="eastAsia"/>
        </w:rPr>
        <w:t>三、如果合同中未约定差价调整办法的，或虽有约定，但约定不明确或矛盾的，发承包双方应协商解决。可按下述指导意见签订补充协议，补充协议须向工程所在地建设行政主管部门备案。</w:t>
      </w:r>
    </w:p>
    <w:p>
      <w:pPr>
        <w:spacing w:line="500" w:lineRule="exact"/>
        <w:ind w:firstLine="560"/>
      </w:pPr>
      <w:r>
        <w:rPr>
          <w:rFonts w:hint="eastAsia"/>
        </w:rPr>
        <w:t>1.采用固定价格（包括固定总价与固定单价）合同形式的工程，计取了风险费用的，并且合同工期在6个月以内的，不再调整差价。</w:t>
      </w:r>
    </w:p>
    <w:p>
      <w:pPr>
        <w:spacing w:line="500" w:lineRule="exact"/>
        <w:ind w:firstLine="560"/>
      </w:pPr>
      <w:r>
        <w:rPr>
          <w:rFonts w:hint="eastAsia"/>
        </w:rPr>
        <w:t>2.采用固定价格（包括固定总价与固定单价）合同形式的工程，未计取风险费用的，或虽然计取了风险费用但合同工期在6个月以上的，在扣除风险费用后，差价按如下办法调整：</w:t>
      </w:r>
    </w:p>
    <w:p>
      <w:pPr>
        <w:spacing w:line="500" w:lineRule="exact"/>
        <w:ind w:firstLine="560"/>
      </w:pPr>
      <w:r>
        <w:rPr>
          <w:rFonts w:hint="eastAsia"/>
        </w:rPr>
        <w:t>（1）可调价要素：人工、钢材、砼、水泥、电线、电缆、沥青、石材、铝合金等等，以及其价值占单位专业工程分部分项工程费5%以上的其它要素者。计算公式如下：</w:t>
      </w:r>
    </w:p>
    <w:p>
      <w:pPr>
        <w:spacing w:line="500" w:lineRule="exact"/>
        <w:ind w:firstLine="560"/>
      </w:pPr>
      <w:r>
        <w:rPr>
          <w:rFonts w:hint="eastAsia"/>
        </w:rPr>
        <w:t>占比（%）＝某要素单位专业工程总数量（包括变更调整数量）×中标单价／中标的单位专业工程分部分项工程费（包括变更调整部分）×100%。</w:t>
      </w:r>
    </w:p>
    <w:p>
      <w:pPr>
        <w:spacing w:line="500" w:lineRule="exact"/>
        <w:ind w:firstLine="560"/>
      </w:pPr>
      <w:r>
        <w:rPr>
          <w:rFonts w:hint="eastAsia"/>
        </w:rPr>
        <w:t>（2）承包人承担的可调价要素的风险幅度值为5%。</w:t>
      </w:r>
    </w:p>
    <w:p>
      <w:pPr>
        <w:spacing w:line="500" w:lineRule="exact"/>
        <w:ind w:firstLine="560"/>
      </w:pPr>
      <w:r>
        <w:rPr>
          <w:rFonts w:hint="eastAsia"/>
        </w:rPr>
        <w:t>（3）施工期间可调价要素价格的涨、跌幅度以招标控制价所采用的月份价格为基础，涨、跌幅度在5%以内（含5%）时，其差价由承包人承担或受益；涨、跌幅度超出5%时，其超出部分的差价由发包人承担或受益，计算公式如下：</w:t>
      </w:r>
    </w:p>
    <w:p>
      <w:pPr>
        <w:spacing w:line="500" w:lineRule="exact"/>
        <w:ind w:firstLine="560"/>
      </w:pPr>
      <w:r>
        <w:rPr>
          <w:rFonts w:hint="eastAsia"/>
        </w:rPr>
        <w:t>①上涨超出5%时，差价（正值）＝（施工期间可调价要素加权平均价－招标控制价所采用的月份价格×1.05）×（1－该要素单价让利幅度）；</w:t>
      </w:r>
    </w:p>
    <w:p>
      <w:pPr>
        <w:spacing w:line="500" w:lineRule="exact"/>
        <w:ind w:firstLine="560"/>
      </w:pPr>
      <w:r>
        <w:rPr>
          <w:rFonts w:hint="eastAsia"/>
        </w:rPr>
        <w:t>②下跌超出5%时，差价（负值）＝（施工期间可调价要素加权平均价－招标控制价所采用的月份价格×0.95）×（1－该要素单价让利幅度）。</w:t>
      </w:r>
    </w:p>
    <w:p>
      <w:pPr>
        <w:spacing w:line="500" w:lineRule="exact"/>
        <w:ind w:firstLine="560"/>
      </w:pPr>
      <w:r>
        <w:rPr>
          <w:rFonts w:hint="eastAsia"/>
        </w:rPr>
        <w:t>施工期间可调价要素加权平均价=Σ（每月实际使用量×当月价格）／该要素总用量。</w:t>
      </w:r>
    </w:p>
    <w:p>
      <w:pPr>
        <w:spacing w:line="500" w:lineRule="exact"/>
        <w:ind w:firstLine="560"/>
      </w:pPr>
      <w:r>
        <w:rPr>
          <w:rFonts w:hint="eastAsia"/>
        </w:rPr>
        <w:t>3.采用可调价格合同形式的工程，差价按如下办法调整：</w:t>
      </w:r>
    </w:p>
    <w:p>
      <w:pPr>
        <w:spacing w:line="500" w:lineRule="exact"/>
        <w:ind w:firstLine="560"/>
      </w:pPr>
      <w:r>
        <w:rPr>
          <w:rFonts w:hint="eastAsia"/>
        </w:rPr>
        <w:t>（1）某要素价值占单位专业工程分部分项工程费5%以上者。</w:t>
      </w:r>
    </w:p>
    <w:p>
      <w:pPr>
        <w:spacing w:line="500" w:lineRule="exact"/>
        <w:ind w:firstLine="560"/>
      </w:pPr>
      <w:r>
        <w:rPr>
          <w:rFonts w:hint="eastAsia"/>
        </w:rPr>
        <w:t>差价＝（施工期间可调价要素加权平均价－招标控制价所采用的月份价格）×（1－该要素单价让利幅度）。</w:t>
      </w:r>
    </w:p>
    <w:p>
      <w:pPr>
        <w:spacing w:line="500" w:lineRule="exact"/>
        <w:ind w:firstLine="560"/>
      </w:pPr>
      <w:r>
        <w:rPr>
          <w:rFonts w:hint="eastAsia"/>
        </w:rPr>
        <w:t>（2）某要素价值占单位专业工程分部分项工程费5%以下（含5%）者。</w:t>
      </w:r>
    </w:p>
    <w:p>
      <w:pPr>
        <w:spacing w:line="500" w:lineRule="exact"/>
        <w:ind w:firstLine="560"/>
      </w:pPr>
      <w:r>
        <w:rPr>
          <w:rFonts w:hint="eastAsia"/>
        </w:rPr>
        <w:t>差价＝（实际开竣工期间可调价要素算术平均价－招标控制价所采用的月份价格）×（1－中标让利幅度）。</w:t>
      </w:r>
    </w:p>
    <w:p>
      <w:pPr>
        <w:spacing w:line="500" w:lineRule="exact"/>
        <w:ind w:firstLine="560"/>
      </w:pPr>
      <w:r>
        <w:rPr>
          <w:rFonts w:hint="eastAsia"/>
        </w:rPr>
        <w:t>4.当某个月造价管理部门发布一次以上价格时，当月价格按当月调整的次数加权平均计算；当每月实际使用量无法确定时，可以根据当月完成的工作量分析出的数量计算；当某要素单价让利幅度无法确定时，可以采用中标让利幅度。</w:t>
      </w:r>
    </w:p>
    <w:p>
      <w:pPr>
        <w:spacing w:line="500" w:lineRule="exact"/>
        <w:ind w:firstLine="560"/>
      </w:pPr>
      <w:r>
        <w:rPr>
          <w:rFonts w:hint="eastAsia"/>
        </w:rPr>
        <w:t>5.因发包人或承包人原因造成工期延误的，延误期间遇价格波动造成的差价损失由责任方承担。</w:t>
      </w:r>
    </w:p>
    <w:p>
      <w:pPr>
        <w:spacing w:line="500" w:lineRule="exact"/>
        <w:ind w:firstLine="560"/>
      </w:pPr>
      <w:r>
        <w:rPr>
          <w:rFonts w:hint="eastAsia"/>
        </w:rPr>
        <w:t>四、差价应根据计价规则计取相关费用和税金，并作为追加（减）合同价款和工程进度款同期支付。</w:t>
      </w:r>
    </w:p>
    <w:p>
      <w:pPr>
        <w:spacing w:line="500" w:lineRule="exact"/>
        <w:ind w:firstLine="560"/>
      </w:pPr>
      <w:r>
        <w:rPr>
          <w:rFonts w:hint="eastAsia"/>
        </w:rPr>
        <w:t>五、为提高工程结算的效率和质量，在施工过程中应及时办理当月各要素用量清单。</w:t>
      </w:r>
    </w:p>
    <w:p>
      <w:pPr>
        <w:spacing w:line="500" w:lineRule="exact"/>
        <w:ind w:firstLine="560"/>
      </w:pPr>
      <w:r>
        <w:rPr>
          <w:rFonts w:hint="eastAsia"/>
        </w:rPr>
        <w:t>六、本指导意见适用于招标工程的竣工结算，依法不招标的工程可参照执行。</w:t>
      </w:r>
    </w:p>
    <w:p>
      <w:pPr>
        <w:spacing w:line="500" w:lineRule="exact"/>
        <w:ind w:firstLine="560"/>
      </w:pPr>
      <w:r>
        <w:rPr>
          <w:rFonts w:hint="eastAsia"/>
        </w:rPr>
        <w:t>七、本指导意见自2013年3月1日起施行，已经完成竣工结算的工程不再调整。以前有关文件中规定与本文不一致的，以本文为准；原苏建价〔2009〕10号文停止执行。发文之日前原合同约定按苏建价〔2009〕10号文调整差价的，从其约定。</w:t>
      </w:r>
    </w:p>
    <w:p>
      <w:pPr>
        <w:ind w:firstLine="560"/>
      </w:pPr>
    </w:p>
    <w:p>
      <w:pPr>
        <w:ind w:firstLine="560"/>
        <w:jc w:val="right"/>
        <w:rPr>
          <w:rFonts w:ascii="仿宋_GB2312"/>
          <w:spacing w:val="4"/>
          <w:szCs w:val="32"/>
        </w:rPr>
      </w:pPr>
      <w:r>
        <w:rPr>
          <w:rFonts w:hint="eastAsia"/>
        </w:rPr>
        <w:t>二○一二年十二月二十三日</w:t>
      </w:r>
    </w:p>
    <w:p>
      <w:pPr>
        <w:ind w:firstLine="560"/>
        <w:rPr>
          <w:rFonts w:ascii="仿宋_GB2312"/>
        </w:rPr>
      </w:pPr>
    </w:p>
    <w:p>
      <w:pPr>
        <w:ind w:firstLine="560"/>
        <w:rPr>
          <w:rFonts w:ascii="仿宋_GB2312"/>
        </w:rPr>
      </w:pPr>
      <w:r>
        <w:rPr>
          <w:rFonts w:ascii="仿宋_GB2312"/>
        </w:rPr>
        <w:drawing>
          <wp:anchor distT="0" distB="0" distL="114300" distR="114300" simplePos="0" relativeHeight="251659264" behindDoc="1" locked="0" layoutInCell="1" allowOverlap="1">
            <wp:simplePos x="0" y="0"/>
            <wp:positionH relativeFrom="column">
              <wp:posOffset>-256540</wp:posOffset>
            </wp:positionH>
            <wp:positionV relativeFrom="paragraph">
              <wp:posOffset>311150</wp:posOffset>
            </wp:positionV>
            <wp:extent cx="6334125" cy="2207895"/>
            <wp:effectExtent l="0" t="0" r="0" b="1905"/>
            <wp:wrapNone/>
            <wp:docPr id="1" name="图片 1"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8699" t="47198" r="7548"/>
                    <a:stretch>
                      <a:fillRect/>
                    </a:stretch>
                  </pic:blipFill>
                  <pic:spPr>
                    <a:xfrm>
                      <a:off x="0" y="0"/>
                      <a:ext cx="6334125" cy="2207895"/>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pStyle w:val="4"/>
      </w:pPr>
      <w:bookmarkStart w:id="444" w:name="_Toc8369"/>
      <w:bookmarkStart w:id="445" w:name="_Toc30885"/>
      <w:bookmarkStart w:id="446" w:name="_Toc31936"/>
      <w:bookmarkStart w:id="447" w:name="_Toc29823"/>
      <w:bookmarkStart w:id="448" w:name="_Toc18011"/>
      <w:bookmarkStart w:id="449" w:name="_Toc4820"/>
      <w:bookmarkStart w:id="450" w:name="_Toc12096"/>
      <w:bookmarkStart w:id="451" w:name="_Toc9535"/>
      <w:bookmarkStart w:id="452" w:name="_Toc30655"/>
      <w:bookmarkStart w:id="453" w:name="_Toc8047"/>
      <w:bookmarkStart w:id="454" w:name="_Toc28172"/>
      <w:bookmarkStart w:id="455" w:name="_Toc15329"/>
      <w:r>
        <w:rPr>
          <w:rFonts w:hint="eastAsia"/>
        </w:rPr>
        <w:t>苏住建价〔2013〕1号</w:t>
      </w:r>
      <w:bookmarkEnd w:id="444"/>
      <w:bookmarkEnd w:id="445"/>
      <w:bookmarkEnd w:id="446"/>
      <w:bookmarkEnd w:id="447"/>
      <w:bookmarkEnd w:id="448"/>
      <w:bookmarkEnd w:id="449"/>
      <w:bookmarkEnd w:id="450"/>
      <w:bookmarkEnd w:id="451"/>
      <w:bookmarkEnd w:id="452"/>
      <w:bookmarkEnd w:id="453"/>
      <w:bookmarkEnd w:id="454"/>
      <w:bookmarkEnd w:id="455"/>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480" w:lineRule="exact"/>
        <w:ind w:firstLine="883"/>
        <w:rPr>
          <w:rFonts w:ascii="宋体" w:hAnsi="宋体" w:eastAsia="宋体"/>
          <w:b/>
          <w:sz w:val="44"/>
          <w:szCs w:val="44"/>
        </w:rPr>
      </w:pPr>
    </w:p>
    <w:p>
      <w:pPr>
        <w:pStyle w:val="3"/>
      </w:pPr>
      <w:bookmarkStart w:id="456" w:name="_Toc19770"/>
      <w:bookmarkStart w:id="457" w:name="_Toc8654"/>
      <w:bookmarkStart w:id="458" w:name="_Toc23699"/>
      <w:bookmarkStart w:id="459" w:name="_Toc28753"/>
      <w:bookmarkStart w:id="460" w:name="_Toc24320"/>
      <w:bookmarkStart w:id="461" w:name="_Toc11837"/>
      <w:bookmarkStart w:id="462" w:name="_Toc7841"/>
      <w:bookmarkStart w:id="463" w:name="_Toc32140"/>
      <w:bookmarkStart w:id="464" w:name="_Toc24867"/>
      <w:bookmarkStart w:id="465" w:name="_Toc30825"/>
      <w:bookmarkStart w:id="466" w:name="_Toc28449"/>
      <w:bookmarkStart w:id="467" w:name="_Toc28070"/>
      <w:bookmarkStart w:id="468" w:name="_Toc28652"/>
      <w:bookmarkStart w:id="469" w:name="_Toc20173"/>
      <w:r>
        <w:rPr>
          <w:rFonts w:hint="eastAsia"/>
        </w:rPr>
        <w:t>关于转发省住建厅《关于发布建设工程</w:t>
      </w:r>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p>
      <w:pPr>
        <w:pStyle w:val="3"/>
      </w:pPr>
      <w:bookmarkStart w:id="470" w:name="_Toc12306"/>
      <w:bookmarkStart w:id="471" w:name="_Toc9101"/>
      <w:bookmarkStart w:id="472" w:name="_Toc27254"/>
      <w:bookmarkStart w:id="473" w:name="_Toc17370"/>
      <w:bookmarkStart w:id="474" w:name="_Toc14776"/>
      <w:bookmarkStart w:id="475" w:name="_Toc6642"/>
      <w:bookmarkStart w:id="476" w:name="_Toc21431"/>
      <w:bookmarkStart w:id="477" w:name="_Toc14763"/>
      <w:bookmarkStart w:id="478" w:name="_Toc19058"/>
      <w:bookmarkStart w:id="479" w:name="_Toc26931"/>
      <w:bookmarkStart w:id="480" w:name="_Toc13736"/>
      <w:bookmarkStart w:id="481" w:name="_Toc26103"/>
      <w:bookmarkStart w:id="482" w:name="_Toc19383"/>
      <w:bookmarkStart w:id="483" w:name="_Toc7117"/>
      <w:r>
        <w:rPr>
          <w:rFonts w:hint="eastAsia"/>
        </w:rPr>
        <w:t>人工工资指导价的通知》的通知</w:t>
      </w:r>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pPr>
        <w:widowControl/>
        <w:spacing w:line="420" w:lineRule="exact"/>
        <w:ind w:firstLine="460"/>
        <w:jc w:val="center"/>
        <w:rPr>
          <w:rFonts w:ascii="ˎ̥" w:hAnsi="ˎ̥" w:cs="宋体"/>
          <w:color w:val="000000"/>
          <w:kern w:val="0"/>
          <w:sz w:val="23"/>
          <w:szCs w:val="23"/>
        </w:rPr>
      </w:pPr>
    </w:p>
    <w:p>
      <w:pPr>
        <w:widowControl/>
        <w:spacing w:line="420" w:lineRule="exact"/>
        <w:ind w:firstLine="460"/>
        <w:jc w:val="center"/>
        <w:rPr>
          <w:rFonts w:ascii="ˎ̥" w:hAnsi="ˎ̥" w:cs="宋体"/>
          <w:color w:val="000000"/>
          <w:kern w:val="0"/>
          <w:sz w:val="23"/>
          <w:szCs w:val="23"/>
        </w:rPr>
      </w:pPr>
      <w:r>
        <w:rPr>
          <w:rFonts w:ascii="ˎ̥" w:hAnsi="ˎ̥" w:cs="宋体"/>
          <w:color w:val="000000"/>
          <w:kern w:val="0"/>
          <w:sz w:val="23"/>
          <w:szCs w:val="23"/>
        </w:rPr>
        <w:t> </w:t>
      </w:r>
    </w:p>
    <w:p>
      <w:pPr>
        <w:ind w:firstLine="0" w:firstLineChars="0"/>
      </w:pPr>
      <w:r>
        <w:rPr>
          <w:rFonts w:hint="eastAsia"/>
        </w:rPr>
        <w:t>各市、区住建局，苏州工业园区规划建设局，市各有关委办局：</w:t>
      </w:r>
    </w:p>
    <w:p>
      <w:pPr>
        <w:ind w:firstLine="560"/>
      </w:pPr>
      <w:r>
        <w:rPr>
          <w:rFonts w:hint="eastAsia"/>
        </w:rPr>
        <w:t>现将省住建厅《关于发布建设工程人工工资指导价的通知》（苏建函价〔2013〕111号）转发给你们。</w:t>
      </w:r>
    </w:p>
    <w:p>
      <w:pPr>
        <w:ind w:firstLine="560"/>
      </w:pPr>
      <w:r>
        <w:rPr>
          <w:rFonts w:hint="eastAsia"/>
        </w:rPr>
        <w:t>人工工资指导价差价调整，应遵从承发包双方合同约定。如合同未作约定或约定不明确，可参照市住建局《关于我市建设工程竣工结算差价调整的指导意见》(苏住建价〔2012〕19号文)和省住建厅相关文件规定执行。</w:t>
      </w:r>
    </w:p>
    <w:p>
      <w:pPr>
        <w:ind w:firstLine="560"/>
      </w:pPr>
    </w:p>
    <w:p>
      <w:pPr>
        <w:ind w:firstLine="560"/>
      </w:pPr>
      <w:r>
        <w:rPr>
          <w:rFonts w:hint="eastAsia"/>
        </w:rPr>
        <w:t>附件：《关于发布建设工程人工工资指导价的通知》</w:t>
      </w:r>
    </w:p>
    <w:p>
      <w:pPr>
        <w:ind w:firstLine="560"/>
      </w:pPr>
      <w:r>
        <w:rPr>
          <w:rFonts w:hint="eastAsia"/>
        </w:rPr>
        <w:t>（苏建函价〔2013〕111号）</w:t>
      </w:r>
    </w:p>
    <w:p>
      <w:pPr>
        <w:ind w:firstLine="560"/>
      </w:pPr>
    </w:p>
    <w:p>
      <w:pPr>
        <w:ind w:firstLine="4564" w:firstLineChars="1630"/>
      </w:pPr>
      <w:r>
        <w:rPr>
          <w:rFonts w:hint="eastAsia"/>
        </w:rPr>
        <w:t>苏州市住房和城乡建设局</w:t>
      </w:r>
    </w:p>
    <w:p>
      <w:pPr>
        <w:ind w:firstLine="560"/>
      </w:pPr>
      <w:r>
        <w:rPr>
          <w:rFonts w:hint="eastAsia"/>
        </w:rPr>
        <w:t xml:space="preserve">     </w:t>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 xml:space="preserve"> 二○一三年二月二十六日</w:t>
      </w:r>
    </w:p>
    <w:p>
      <w:pPr>
        <w:widowControl/>
        <w:ind w:firstLine="560"/>
        <w:jc w:val="left"/>
      </w:pPr>
      <w:r>
        <w:br w:type="page"/>
      </w:r>
    </w:p>
    <w:p>
      <w:pPr>
        <w:spacing w:line="240" w:lineRule="auto"/>
        <w:ind w:firstLine="0" w:firstLineChars="0"/>
      </w:pPr>
      <w:r>
        <w:rPr>
          <w:rFonts w:hint="eastAsia"/>
        </w:rPr>
        <w:t>附件：</w:t>
      </w:r>
    </w:p>
    <w:p>
      <w:pPr>
        <w:spacing w:line="240" w:lineRule="auto"/>
        <w:ind w:firstLine="0" w:firstLineChars="0"/>
      </w:pPr>
    </w:p>
    <w:p>
      <w:pPr>
        <w:spacing w:line="240" w:lineRule="auto"/>
        <w:ind w:firstLine="560"/>
      </w:pPr>
      <w:r>
        <w:drawing>
          <wp:inline distT="0" distB="0" distL="0" distR="0">
            <wp:extent cx="5420995" cy="8006080"/>
            <wp:effectExtent l="0" t="0" r="8255" b="139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0"/>
                    <a:srcRect l="5800" t="4693" r="5302" b="2470"/>
                    <a:stretch>
                      <a:fillRect/>
                    </a:stretch>
                  </pic:blipFill>
                  <pic:spPr>
                    <a:xfrm>
                      <a:off x="0" y="0"/>
                      <a:ext cx="5420995" cy="8006080"/>
                    </a:xfrm>
                    <a:prstGeom prst="rect">
                      <a:avLst/>
                    </a:prstGeom>
                  </pic:spPr>
                </pic:pic>
              </a:graphicData>
            </a:graphic>
          </wp:inline>
        </w:drawing>
      </w:r>
    </w:p>
    <w:p>
      <w:pPr>
        <w:widowControl/>
        <w:spacing w:line="240" w:lineRule="auto"/>
        <w:ind w:firstLine="560"/>
        <w:jc w:val="left"/>
      </w:pPr>
      <w:r>
        <w:br w:type="page"/>
      </w:r>
    </w:p>
    <w:p>
      <w:pPr>
        <w:spacing w:line="240" w:lineRule="auto"/>
        <w:ind w:firstLine="560"/>
      </w:pPr>
      <w:r>
        <w:drawing>
          <wp:inline distT="0" distB="0" distL="0" distR="0">
            <wp:extent cx="5240655" cy="8786495"/>
            <wp:effectExtent l="0" t="0" r="17145" b="146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1"/>
                    <a:srcRect l="9158" t="8459" r="17456" b="4533"/>
                    <a:stretch>
                      <a:fillRect/>
                    </a:stretch>
                  </pic:blipFill>
                  <pic:spPr>
                    <a:xfrm>
                      <a:off x="0" y="0"/>
                      <a:ext cx="5240655" cy="8786495"/>
                    </a:xfrm>
                    <a:prstGeom prst="rect">
                      <a:avLst/>
                    </a:prstGeom>
                  </pic:spPr>
                </pic:pic>
              </a:graphicData>
            </a:graphic>
          </wp:inline>
        </w:drawing>
      </w:r>
      <w:r>
        <w:t xml:space="preserve"> </w:t>
      </w:r>
      <w:r>
        <w:drawing>
          <wp:inline distT="0" distB="0" distL="0" distR="0">
            <wp:extent cx="4528820" cy="8733155"/>
            <wp:effectExtent l="0" t="0" r="5080" b="1079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2"/>
                    <a:srcRect l="14731" t="6700" r="19457" b="3558"/>
                    <a:stretch>
                      <a:fillRect/>
                    </a:stretch>
                  </pic:blipFill>
                  <pic:spPr>
                    <a:xfrm>
                      <a:off x="0" y="0"/>
                      <a:ext cx="4528820" cy="8733155"/>
                    </a:xfrm>
                    <a:prstGeom prst="rect">
                      <a:avLst/>
                    </a:prstGeom>
                  </pic:spPr>
                </pic:pic>
              </a:graphicData>
            </a:graphic>
          </wp:inline>
        </w:drawing>
      </w:r>
    </w:p>
    <w:p>
      <w:pPr>
        <w:widowControl/>
        <w:ind w:firstLine="560"/>
        <w:jc w:val="left"/>
        <w:rPr>
          <w:rFonts w:ascii="仿宋_GB2312"/>
        </w:rPr>
      </w:pPr>
      <w:r>
        <w:rPr>
          <w:rFonts w:ascii="仿宋_GB2312"/>
        </w:rPr>
        <w:drawing>
          <wp:anchor distT="0" distB="0" distL="114300" distR="114300" simplePos="0" relativeHeight="251663360" behindDoc="1" locked="0" layoutInCell="1" allowOverlap="1">
            <wp:simplePos x="0" y="0"/>
            <wp:positionH relativeFrom="column">
              <wp:posOffset>-245745</wp:posOffset>
            </wp:positionH>
            <wp:positionV relativeFrom="paragraph">
              <wp:posOffset>11430</wp:posOffset>
            </wp:positionV>
            <wp:extent cx="6179185" cy="2320925"/>
            <wp:effectExtent l="0" t="0" r="0" b="2540"/>
            <wp:wrapNone/>
            <wp:docPr id="29" name="图片 29"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8841" t="44495" r="9454"/>
                    <a:stretch>
                      <a:fillRect/>
                    </a:stretch>
                  </pic:blipFill>
                  <pic:spPr>
                    <a:xfrm>
                      <a:off x="0" y="0"/>
                      <a:ext cx="6179185" cy="2320925"/>
                    </a:xfrm>
                    <a:prstGeom prst="rect">
                      <a:avLst/>
                    </a:prstGeom>
                    <a:noFill/>
                  </pic:spPr>
                </pic:pic>
              </a:graphicData>
            </a:graphic>
          </wp:anchor>
        </w:drawing>
      </w:r>
    </w:p>
    <w:p>
      <w:pPr>
        <w:widowControl/>
        <w:ind w:firstLine="560"/>
        <w:jc w:val="left"/>
        <w:rPr>
          <w:rFonts w:ascii="仿宋_GB2312"/>
        </w:rPr>
      </w:pPr>
    </w:p>
    <w:p>
      <w:pPr>
        <w:widowControl/>
        <w:ind w:firstLine="560"/>
        <w:jc w:val="left"/>
        <w:rPr>
          <w:rFonts w:ascii="仿宋_GB2312"/>
        </w:rPr>
      </w:pPr>
    </w:p>
    <w:p>
      <w:pPr>
        <w:widowControl/>
        <w:ind w:firstLine="560"/>
        <w:jc w:val="left"/>
        <w:rPr>
          <w:rFonts w:ascii="仿宋_GB2312"/>
        </w:rPr>
      </w:pPr>
    </w:p>
    <w:p>
      <w:pPr>
        <w:widowControl/>
        <w:ind w:firstLine="560"/>
        <w:jc w:val="left"/>
        <w:rPr>
          <w:rFonts w:ascii="仿宋_GB2312"/>
        </w:rPr>
      </w:pPr>
    </w:p>
    <w:p>
      <w:pPr>
        <w:pStyle w:val="4"/>
      </w:pPr>
      <w:bookmarkStart w:id="484" w:name="_Toc19572"/>
      <w:bookmarkStart w:id="485" w:name="_Toc26468"/>
      <w:bookmarkStart w:id="486" w:name="_Toc16365"/>
      <w:bookmarkStart w:id="487" w:name="_Toc2972"/>
      <w:bookmarkStart w:id="488" w:name="_Toc816"/>
      <w:bookmarkStart w:id="489" w:name="_Toc32167"/>
      <w:bookmarkStart w:id="490" w:name="_Toc18639"/>
      <w:bookmarkStart w:id="491" w:name="_Toc29078"/>
      <w:bookmarkStart w:id="492" w:name="_Toc23674"/>
      <w:bookmarkStart w:id="493" w:name="_Toc2895"/>
      <w:bookmarkStart w:id="494" w:name="_Toc3589"/>
      <w:r>
        <w:rPr>
          <w:rFonts w:hint="eastAsia"/>
        </w:rPr>
        <w:t>苏住建价〔2014〕4号</w:t>
      </w:r>
      <w:bookmarkEnd w:id="484"/>
      <w:bookmarkEnd w:id="485"/>
      <w:bookmarkEnd w:id="486"/>
      <w:bookmarkEnd w:id="487"/>
      <w:bookmarkEnd w:id="488"/>
      <w:bookmarkEnd w:id="489"/>
      <w:bookmarkEnd w:id="490"/>
      <w:bookmarkEnd w:id="491"/>
      <w:bookmarkEnd w:id="492"/>
      <w:bookmarkEnd w:id="493"/>
      <w:bookmarkEnd w:id="494"/>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480" w:lineRule="exact"/>
        <w:ind w:firstLine="883"/>
        <w:rPr>
          <w:rFonts w:ascii="宋体" w:hAnsi="宋体" w:eastAsia="宋体"/>
          <w:b/>
          <w:sz w:val="44"/>
          <w:szCs w:val="44"/>
        </w:rPr>
      </w:pPr>
    </w:p>
    <w:p>
      <w:pPr>
        <w:pStyle w:val="3"/>
      </w:pPr>
      <w:bookmarkStart w:id="495" w:name="_Toc23020"/>
      <w:bookmarkStart w:id="496" w:name="_Toc9550"/>
      <w:bookmarkStart w:id="497" w:name="_Toc9691"/>
      <w:bookmarkStart w:id="498" w:name="_Toc6996"/>
      <w:bookmarkStart w:id="499" w:name="_Toc11996"/>
      <w:bookmarkStart w:id="500" w:name="_Toc1113"/>
      <w:bookmarkStart w:id="501" w:name="_Toc22819"/>
      <w:bookmarkStart w:id="502" w:name="_Toc21201"/>
      <w:bookmarkStart w:id="503" w:name="_Toc11626"/>
      <w:bookmarkStart w:id="504" w:name="_Toc802"/>
      <w:bookmarkStart w:id="505" w:name="_Toc31546"/>
      <w:bookmarkStart w:id="506" w:name="_Toc15777"/>
      <w:bookmarkStart w:id="507" w:name="_Toc15842"/>
      <w:bookmarkStart w:id="508" w:name="_Toc21898"/>
      <w:r>
        <w:rPr>
          <w:rFonts w:hint="eastAsia"/>
        </w:rPr>
        <w:t>市住房城乡建设局关于贯彻执行《建设工程</w:t>
      </w:r>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pPr>
        <w:pStyle w:val="3"/>
      </w:pPr>
      <w:bookmarkStart w:id="509" w:name="_Toc16296"/>
      <w:bookmarkStart w:id="510" w:name="_Toc27130"/>
      <w:bookmarkStart w:id="511" w:name="_Toc8557"/>
      <w:bookmarkStart w:id="512" w:name="_Toc16772"/>
      <w:bookmarkStart w:id="513" w:name="_Toc12008"/>
      <w:bookmarkStart w:id="514" w:name="_Toc3417"/>
      <w:bookmarkStart w:id="515" w:name="_Toc23855"/>
      <w:bookmarkStart w:id="516" w:name="_Toc26765"/>
      <w:bookmarkStart w:id="517" w:name="_Toc9847"/>
      <w:bookmarkStart w:id="518" w:name="_Toc28962"/>
      <w:bookmarkStart w:id="519" w:name="_Toc21571"/>
      <w:bookmarkStart w:id="520" w:name="_Toc25573"/>
      <w:bookmarkStart w:id="521" w:name="_Toc2074"/>
      <w:bookmarkStart w:id="522" w:name="_Toc8285"/>
      <w:r>
        <w:rPr>
          <w:rFonts w:hint="eastAsia"/>
        </w:rPr>
        <w:t>工程量清单计价规范》（GB50500-2013）、</w:t>
      </w:r>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p>
    <w:p>
      <w:pPr>
        <w:pStyle w:val="3"/>
      </w:pPr>
      <w:bookmarkStart w:id="523" w:name="_Toc13777"/>
      <w:bookmarkStart w:id="524" w:name="_Toc16210"/>
      <w:bookmarkStart w:id="525" w:name="_Toc29890"/>
      <w:bookmarkStart w:id="526" w:name="_Toc31636"/>
      <w:bookmarkStart w:id="527" w:name="_Toc29712"/>
      <w:bookmarkStart w:id="528" w:name="_Toc4744"/>
      <w:bookmarkStart w:id="529" w:name="_Toc7428"/>
      <w:bookmarkStart w:id="530" w:name="_Toc21613"/>
      <w:bookmarkStart w:id="531" w:name="_Toc1357"/>
      <w:bookmarkStart w:id="532" w:name="_Toc13155"/>
      <w:bookmarkStart w:id="533" w:name="_Toc11433"/>
      <w:bookmarkStart w:id="534" w:name="_Toc29425"/>
      <w:bookmarkStart w:id="535" w:name="_Toc17084"/>
      <w:bookmarkStart w:id="536" w:name="_Toc19037"/>
      <w:r>
        <w:rPr>
          <w:rFonts w:hint="eastAsia"/>
        </w:rPr>
        <w:t>9本工程量计算规范及2014年江苏省</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pPr>
        <w:pStyle w:val="3"/>
      </w:pPr>
      <w:bookmarkStart w:id="537" w:name="_Toc23129"/>
      <w:bookmarkStart w:id="538" w:name="_Toc16791"/>
      <w:bookmarkStart w:id="539" w:name="_Toc19999"/>
      <w:bookmarkStart w:id="540" w:name="_Toc22774"/>
      <w:bookmarkStart w:id="541" w:name="_Toc10627"/>
      <w:bookmarkStart w:id="542" w:name="_Toc4506"/>
      <w:bookmarkStart w:id="543" w:name="_Toc23910"/>
      <w:bookmarkStart w:id="544" w:name="_Toc1959"/>
      <w:bookmarkStart w:id="545" w:name="_Toc25091"/>
      <w:bookmarkStart w:id="546" w:name="_Toc24614"/>
      <w:bookmarkStart w:id="547" w:name="_Toc1115"/>
      <w:bookmarkStart w:id="548" w:name="_Toc30926"/>
      <w:bookmarkStart w:id="549" w:name="_Toc8629"/>
      <w:bookmarkStart w:id="550" w:name="_Toc17445"/>
      <w:r>
        <w:rPr>
          <w:rFonts w:hint="eastAsia"/>
        </w:rPr>
        <w:t>计价定额和费用定额的通知</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p>
      <w:pPr>
        <w:pStyle w:val="8"/>
        <w:spacing w:line="600" w:lineRule="exact"/>
        <w:ind w:firstLine="560"/>
        <w:rPr>
          <w:rFonts w:hAnsi="仿宋"/>
          <w:szCs w:val="32"/>
        </w:rPr>
      </w:pPr>
    </w:p>
    <w:p>
      <w:pPr>
        <w:ind w:firstLine="0" w:firstLineChars="0"/>
      </w:pPr>
      <w:r>
        <w:rPr>
          <w:rFonts w:hint="eastAsia" w:hAnsi="仿宋"/>
          <w:szCs w:val="32"/>
        </w:rPr>
        <w:t>各</w:t>
      </w:r>
      <w:r>
        <w:rPr>
          <w:rFonts w:hint="eastAsia"/>
        </w:rPr>
        <w:t>市、区住建局，苏州工业园区规划建设局，各有关单位：</w:t>
      </w:r>
    </w:p>
    <w:p>
      <w:pPr>
        <w:ind w:firstLine="560"/>
      </w:pPr>
      <w:r>
        <w:rPr>
          <w:rFonts w:hint="eastAsia"/>
        </w:rPr>
        <w:t>《建设工程工程量清单计价规范》（GB50500—2013）、《房屋建筑与装饰工程工程量计算规范》（GB50854-2013）等9本工程量计算规范（以下简称“13规范”）和2014年江苏省建筑与装饰、安装、市政工程计价定额（以下简称“14计价定额”）、2014年《江苏省建设工程费用定额》（以下简称“14费用定额”）已相继发布。经研究，决定从2015年1月1日起在全市开始执行，为了更好地应用和实施，现将省住房和城乡建设厅《关于〈建设工程工程量清单计价规范〉（GB50500—2013）及其9本工程量计算规范的贯彻意见》(苏建价〔2014〕448号，详见附件2) 转发给你们，并结合我市实际情况，将贯彻执行13规范、14计价定额和14费用定额的有关事项明确如下：</w:t>
      </w:r>
    </w:p>
    <w:p>
      <w:pPr>
        <w:ind w:firstLine="560"/>
      </w:pPr>
      <w:r>
        <w:rPr>
          <w:rFonts w:hint="eastAsia"/>
        </w:rPr>
        <w:t>一、有关措施项目费计取标准</w:t>
      </w:r>
    </w:p>
    <w:p>
      <w:pPr>
        <w:ind w:firstLine="560"/>
      </w:pPr>
      <w:r>
        <w:rPr>
          <w:rFonts w:hint="eastAsia"/>
        </w:rPr>
        <w:t>1．为了减少争议，增加可操作性，对14费用定额中措施项目费费率（表4-8），确定统一标准；调整后的措施项目费费率（表4-8）见文后附件1。</w:t>
      </w:r>
    </w:p>
    <w:p>
      <w:pPr>
        <w:ind w:firstLine="560"/>
      </w:pPr>
      <w:r>
        <w:rPr>
          <w:rFonts w:hint="eastAsia"/>
        </w:rPr>
        <w:t>2．措施项目费费率调整后，二次搬运费以“费率”计价。</w:t>
      </w:r>
    </w:p>
    <w:p>
      <w:pPr>
        <w:ind w:firstLine="560"/>
      </w:pPr>
      <w:r>
        <w:rPr>
          <w:rFonts w:hint="eastAsia"/>
        </w:rPr>
        <w:t>3．对于开展县级建筑安全文明施工标准化示范工地创建活动的地区，县级标化增加费按照省级费率乘以0.5系数执行。</w:t>
      </w:r>
    </w:p>
    <w:p>
      <w:pPr>
        <w:ind w:firstLine="560"/>
      </w:pPr>
      <w:r>
        <w:rPr>
          <w:rFonts w:hint="eastAsia"/>
        </w:rPr>
        <w:t>4．安全文明施工措施费不再实行核定制度。</w:t>
      </w:r>
    </w:p>
    <w:p>
      <w:pPr>
        <w:ind w:firstLine="560"/>
      </w:pPr>
      <w:r>
        <w:rPr>
          <w:rFonts w:hint="eastAsia"/>
        </w:rPr>
        <w:t>5．其他措施项目费按14费用定额规定及标准计取。</w:t>
      </w:r>
    </w:p>
    <w:p>
      <w:pPr>
        <w:ind w:firstLine="560"/>
      </w:pPr>
      <w:r>
        <w:rPr>
          <w:rFonts w:hint="eastAsia"/>
        </w:rPr>
        <w:t>二、有关规费和税金计取标准</w:t>
      </w:r>
    </w:p>
    <w:p>
      <w:pPr>
        <w:ind w:firstLine="560"/>
      </w:pPr>
      <w:r>
        <w:rPr>
          <w:rFonts w:hint="eastAsia"/>
        </w:rPr>
        <w:t>1．工程排污费：暂按（分部分项工程费+措施项目费+其它项目费-工程设备费）×0.1％列入造价，竣工结算时按环保部门实际收取的工程排污费进行结算。</w:t>
      </w:r>
    </w:p>
    <w:p>
      <w:pPr>
        <w:ind w:firstLine="560"/>
      </w:pPr>
      <w:r>
        <w:rPr>
          <w:rFonts w:hint="eastAsia"/>
        </w:rPr>
        <w:t>2．其他规费按14费用定额规定及标准计取。</w:t>
      </w:r>
    </w:p>
    <w:p>
      <w:pPr>
        <w:ind w:firstLine="560"/>
      </w:pPr>
      <w:r>
        <w:rPr>
          <w:rFonts w:hint="eastAsia"/>
        </w:rPr>
        <w:t>3．税金按工程所在地有权部门规定的标准计取。</w:t>
      </w:r>
    </w:p>
    <w:p>
      <w:pPr>
        <w:ind w:firstLine="560"/>
      </w:pPr>
      <w:r>
        <w:rPr>
          <w:rFonts w:hint="eastAsia"/>
        </w:rPr>
        <w:t>三、规费、税金以及安全文明施工措施费为不可竞争性费用，必须按规定的标准计取，不得随意降低计取标准或让利。</w:t>
      </w:r>
    </w:p>
    <w:p>
      <w:pPr>
        <w:ind w:firstLine="560"/>
      </w:pPr>
      <w:r>
        <w:rPr>
          <w:rFonts w:hint="eastAsia"/>
        </w:rPr>
        <w:t>四、甲供材料价格（含采购保管费）应计入相应项目的综合单价中，其现场保管费不在总承包服务费中计取。发包人应严格控制甲供材数量，退甲供材料数量按发包人实际供应的数量退还，供多少退多少，当超供时，超供部分如何退还由发承包双方在合同中约定。</w:t>
      </w:r>
    </w:p>
    <w:p>
      <w:pPr>
        <w:ind w:firstLine="560"/>
      </w:pPr>
      <w:r>
        <w:rPr>
          <w:rFonts w:hint="eastAsia"/>
        </w:rPr>
        <w:t>甲供工程设备是否列入报价在招标文件中明确；但甲供工程设备不论是否列入报价，其现场保管费均必须在招标文件中明确计取办法或金额。</w:t>
      </w:r>
    </w:p>
    <w:p>
      <w:pPr>
        <w:ind w:firstLine="560"/>
      </w:pPr>
      <w:r>
        <w:rPr>
          <w:rFonts w:hint="eastAsia"/>
        </w:rPr>
        <w:t>五、招标控制价应根据13规范、各专业计价定额和费用定额以及造价管理部门发布的价格信息等进行编制，同时结合市场行情参照造价管理部门以往发布的合理浮动幅度系数合理确定, 招标控制价即为最高投标限价。</w:t>
      </w:r>
    </w:p>
    <w:p>
      <w:pPr>
        <w:ind w:firstLine="560"/>
      </w:pPr>
      <w:r>
        <w:rPr>
          <w:rFonts w:hint="eastAsia"/>
        </w:rPr>
        <w:t>六、除本文规定外，其余均按省住房和城乡建设厅苏建价〔2014〕448号文、13规范、14计价定额和14费用定额规定执行。</w:t>
      </w:r>
    </w:p>
    <w:p>
      <w:pPr>
        <w:ind w:firstLine="560"/>
      </w:pPr>
      <w:r>
        <w:rPr>
          <w:rFonts w:hint="eastAsia"/>
        </w:rPr>
        <w:t>七、之前我市发布的针对建设工程工程量清单计价的成本价评审办法及补充规定、风险费用计取办法以及其它相关规定等，同样适用于采用13规范进行计价的工程，但与本文有矛盾的，以本文为准。</w:t>
      </w:r>
    </w:p>
    <w:p>
      <w:pPr>
        <w:ind w:firstLine="560"/>
      </w:pPr>
      <w:r>
        <w:rPr>
          <w:rFonts w:hint="eastAsia"/>
        </w:rPr>
        <w:t>八、执行时间</w:t>
      </w:r>
    </w:p>
    <w:p>
      <w:pPr>
        <w:ind w:firstLine="560"/>
      </w:pPr>
      <w:r>
        <w:rPr>
          <w:rFonts w:hint="eastAsia"/>
        </w:rPr>
        <w:t>13规范、14计价定额、14费用定额以及本文之规定，从2015年1月l日起开始执行，《建筑工程建筑面积计算规范》（GB/T 50353 -2013）同时配套执行，在此之前已发布招标公告或直接发包的工程仍按原规定执行。</w:t>
      </w:r>
    </w:p>
    <w:p>
      <w:pPr>
        <w:ind w:firstLine="560"/>
      </w:pPr>
    </w:p>
    <w:p>
      <w:pPr>
        <w:ind w:firstLine="560"/>
        <w:outlineLvl w:val="0"/>
      </w:pPr>
      <w:bookmarkStart w:id="551" w:name="_Toc27873"/>
      <w:bookmarkStart w:id="552" w:name="_Toc2647"/>
      <w:bookmarkStart w:id="553" w:name="_Toc15394"/>
      <w:bookmarkStart w:id="554" w:name="_Toc6500"/>
      <w:bookmarkStart w:id="555" w:name="_Toc14640"/>
      <w:bookmarkStart w:id="556" w:name="_Toc24923"/>
      <w:bookmarkStart w:id="557" w:name="_Toc30312"/>
      <w:bookmarkStart w:id="558" w:name="_Toc16249"/>
      <w:bookmarkStart w:id="559" w:name="_Toc11075"/>
      <w:bookmarkStart w:id="560" w:name="_Toc11066"/>
      <w:r>
        <w:rPr>
          <w:rFonts w:hint="eastAsia"/>
        </w:rPr>
        <w:t>附件：1.调整后的措施项目费费率（表4-8）</w:t>
      </w:r>
      <w:bookmarkEnd w:id="551"/>
      <w:bookmarkEnd w:id="552"/>
      <w:bookmarkEnd w:id="553"/>
      <w:bookmarkEnd w:id="554"/>
      <w:bookmarkEnd w:id="555"/>
      <w:bookmarkEnd w:id="556"/>
      <w:bookmarkEnd w:id="557"/>
      <w:bookmarkEnd w:id="558"/>
      <w:bookmarkEnd w:id="559"/>
      <w:bookmarkEnd w:id="560"/>
    </w:p>
    <w:p>
      <w:pPr>
        <w:ind w:firstLine="560"/>
      </w:pPr>
      <w:r>
        <w:rPr>
          <w:rFonts w:hint="eastAsia"/>
        </w:rPr>
        <w:t>2.省住房城乡建设厅《关于〈建设工程工程量清单计价规范〉（GB50500—2013）及其9本工程量计算规范的贯彻意见》(苏建价〔2014〕448号文)</w:t>
      </w:r>
    </w:p>
    <w:p>
      <w:pPr>
        <w:ind w:firstLine="560"/>
      </w:pPr>
    </w:p>
    <w:p>
      <w:pPr>
        <w:ind w:firstLine="560"/>
      </w:pPr>
    </w:p>
    <w:p>
      <w:pPr>
        <w:ind w:firstLine="4564" w:firstLineChars="1630"/>
      </w:pPr>
      <w:r>
        <w:rPr>
          <w:rFonts w:hint="eastAsia"/>
        </w:rPr>
        <w:t>苏州市住房和城乡建设局</w:t>
      </w:r>
    </w:p>
    <w:p>
      <w:pPr>
        <w:ind w:firstLine="5292" w:firstLineChars="1890"/>
      </w:pPr>
      <w:r>
        <w:rPr>
          <w:rFonts w:hint="eastAsia"/>
        </w:rPr>
        <w:t>2014年10月13日</w:t>
      </w:r>
    </w:p>
    <w:p>
      <w:pPr>
        <w:spacing w:line="460" w:lineRule="exact"/>
        <w:ind w:firstLine="576"/>
        <w:rPr>
          <w:rFonts w:ascii="仿宋_GB2312"/>
          <w:spacing w:val="4"/>
          <w:szCs w:val="32"/>
        </w:rPr>
      </w:pPr>
    </w:p>
    <w:p>
      <w:pPr>
        <w:pStyle w:val="2"/>
        <w:numPr>
          <w:ilvl w:val="0"/>
          <w:numId w:val="0"/>
        </w:numPr>
        <w:rPr>
          <w:rFonts w:ascii="仿宋_GB2312"/>
          <w:spacing w:val="4"/>
          <w:szCs w:val="32"/>
        </w:rPr>
      </w:pPr>
    </w:p>
    <w:p>
      <w:pPr>
        <w:pStyle w:val="2"/>
        <w:numPr>
          <w:ilvl w:val="0"/>
          <w:numId w:val="0"/>
        </w:numPr>
        <w:rPr>
          <w:rFonts w:ascii="仿宋_GB2312"/>
          <w:spacing w:val="4"/>
          <w:szCs w:val="32"/>
        </w:rPr>
      </w:pPr>
    </w:p>
    <w:p>
      <w:pPr>
        <w:pStyle w:val="2"/>
        <w:numPr>
          <w:ilvl w:val="0"/>
          <w:numId w:val="0"/>
        </w:numPr>
        <w:rPr>
          <w:rFonts w:ascii="仿宋_GB2312"/>
          <w:spacing w:val="4"/>
          <w:szCs w:val="32"/>
        </w:rPr>
      </w:pPr>
    </w:p>
    <w:p>
      <w:pPr>
        <w:pStyle w:val="2"/>
        <w:numPr>
          <w:ilvl w:val="0"/>
          <w:numId w:val="0"/>
        </w:numPr>
        <w:rPr>
          <w:rFonts w:ascii="仿宋_GB2312"/>
          <w:spacing w:val="4"/>
          <w:szCs w:val="32"/>
        </w:rPr>
      </w:pPr>
    </w:p>
    <w:p>
      <w:pPr>
        <w:pStyle w:val="2"/>
        <w:numPr>
          <w:ilvl w:val="0"/>
          <w:numId w:val="0"/>
        </w:numPr>
        <w:rPr>
          <w:rFonts w:ascii="仿宋_GB2312"/>
          <w:spacing w:val="4"/>
          <w:szCs w:val="32"/>
        </w:rPr>
      </w:pPr>
    </w:p>
    <w:p>
      <w:pPr>
        <w:pStyle w:val="2"/>
        <w:numPr>
          <w:ilvl w:val="0"/>
          <w:numId w:val="0"/>
        </w:numPr>
        <w:rPr>
          <w:rFonts w:ascii="仿宋_GB2312"/>
          <w:spacing w:val="4"/>
          <w:szCs w:val="32"/>
        </w:rPr>
      </w:pPr>
    </w:p>
    <w:p>
      <w:pPr>
        <w:pStyle w:val="2"/>
        <w:numPr>
          <w:ilvl w:val="0"/>
          <w:numId w:val="0"/>
        </w:numPr>
        <w:rPr>
          <w:rFonts w:ascii="仿宋_GB2312"/>
          <w:spacing w:val="4"/>
          <w:szCs w:val="32"/>
        </w:rPr>
      </w:pPr>
    </w:p>
    <w:p>
      <w:pPr>
        <w:ind w:firstLine="0" w:firstLineChars="0"/>
        <w:rPr>
          <w:rFonts w:ascii="仿宋_GB2312"/>
          <w:szCs w:val="28"/>
        </w:rPr>
      </w:pPr>
      <w:r>
        <w:rPr>
          <w:rFonts w:hint="eastAsia" w:ascii="仿宋_GB2312"/>
          <w:szCs w:val="28"/>
        </w:rPr>
        <w:t>附件1：</w:t>
      </w:r>
    </w:p>
    <w:p>
      <w:pPr>
        <w:ind w:firstLine="720"/>
        <w:jc w:val="center"/>
        <w:rPr>
          <w:rFonts w:ascii="仿宋_GB2312"/>
          <w:szCs w:val="32"/>
        </w:rPr>
      </w:pPr>
      <w:r>
        <w:rPr>
          <w:rFonts w:hint="eastAsia" w:ascii="方正小标宋_GBK" w:eastAsia="方正小标宋_GBK"/>
          <w:sz w:val="36"/>
          <w:szCs w:val="36"/>
        </w:rPr>
        <w:t>调整后的措施项目费费率</w:t>
      </w:r>
      <w:r>
        <w:rPr>
          <w:rFonts w:hint="eastAsia" w:ascii="仿宋_GB2312"/>
          <w:szCs w:val="32"/>
        </w:rPr>
        <w:t>（表4-8）</w:t>
      </w:r>
    </w:p>
    <w:p>
      <w:pPr>
        <w:ind w:firstLine="560"/>
        <w:rPr>
          <w:szCs w:val="32"/>
        </w:rPr>
      </w:pPr>
    </w:p>
    <w:tbl>
      <w:tblPr>
        <w:tblStyle w:val="22"/>
        <w:tblW w:w="9600" w:type="dxa"/>
        <w:tblInd w:w="0" w:type="dxa"/>
        <w:tblLayout w:type="autofit"/>
        <w:tblCellMar>
          <w:top w:w="0" w:type="dxa"/>
          <w:left w:w="108" w:type="dxa"/>
          <w:bottom w:w="0" w:type="dxa"/>
          <w:right w:w="108" w:type="dxa"/>
        </w:tblCellMar>
      </w:tblPr>
      <w:tblGrid>
        <w:gridCol w:w="489"/>
        <w:gridCol w:w="356"/>
        <w:gridCol w:w="845"/>
        <w:gridCol w:w="769"/>
        <w:gridCol w:w="853"/>
        <w:gridCol w:w="749"/>
        <w:gridCol w:w="238"/>
        <w:gridCol w:w="471"/>
        <w:gridCol w:w="249"/>
        <w:gridCol w:w="606"/>
        <w:gridCol w:w="114"/>
        <w:gridCol w:w="1160"/>
        <w:gridCol w:w="237"/>
        <w:gridCol w:w="755"/>
        <w:gridCol w:w="849"/>
        <w:gridCol w:w="860"/>
      </w:tblGrid>
      <w:tr>
        <w:tblPrEx>
          <w:tblCellMar>
            <w:top w:w="0" w:type="dxa"/>
            <w:left w:w="108" w:type="dxa"/>
            <w:bottom w:w="0" w:type="dxa"/>
            <w:right w:w="108" w:type="dxa"/>
          </w:tblCellMar>
        </w:tblPrEx>
        <w:trPr>
          <w:cantSplit/>
          <w:trHeight w:val="285" w:hRule="atLeast"/>
        </w:trPr>
        <w:tc>
          <w:tcPr>
            <w:tcW w:w="1690" w:type="dxa"/>
            <w:gridSpan w:val="3"/>
            <w:vMerge w:val="restart"/>
            <w:tcBorders>
              <w:top w:val="single" w:color="auto" w:sz="4" w:space="0"/>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项目</w:t>
            </w:r>
          </w:p>
        </w:tc>
        <w:tc>
          <w:tcPr>
            <w:tcW w:w="771"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计算基础</w:t>
            </w:r>
          </w:p>
        </w:tc>
        <w:tc>
          <w:tcPr>
            <w:tcW w:w="7139" w:type="dxa"/>
            <w:gridSpan w:val="12"/>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各专业工程费率（％）</w:t>
            </w:r>
          </w:p>
        </w:tc>
      </w:tr>
      <w:tr>
        <w:tblPrEx>
          <w:tblCellMar>
            <w:top w:w="0" w:type="dxa"/>
            <w:left w:w="108" w:type="dxa"/>
            <w:bottom w:w="0" w:type="dxa"/>
            <w:right w:w="108" w:type="dxa"/>
          </w:tblCellMar>
        </w:tblPrEx>
        <w:trPr>
          <w:cantSplit/>
          <w:trHeight w:val="444" w:hRule="atLeast"/>
        </w:trPr>
        <w:tc>
          <w:tcPr>
            <w:tcW w:w="1690" w:type="dxa"/>
            <w:gridSpan w:val="3"/>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7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建筑工程</w:t>
            </w:r>
          </w:p>
        </w:tc>
        <w:tc>
          <w:tcPr>
            <w:tcW w:w="749" w:type="dxa"/>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单独装饰</w:t>
            </w:r>
          </w:p>
        </w:tc>
        <w:tc>
          <w:tcPr>
            <w:tcW w:w="709"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安装工程</w:t>
            </w:r>
          </w:p>
        </w:tc>
        <w:tc>
          <w:tcPr>
            <w:tcW w:w="855"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市政工程</w:t>
            </w:r>
          </w:p>
        </w:tc>
        <w:tc>
          <w:tcPr>
            <w:tcW w:w="1274"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修缮土建</w:t>
            </w:r>
            <w:r>
              <w:rPr>
                <w:rFonts w:hAnsi="宋体" w:cs="宋体"/>
                <w:kern w:val="0"/>
                <w:sz w:val="24"/>
              </w:rPr>
              <w:t>(</w:t>
            </w:r>
            <w:r>
              <w:rPr>
                <w:rFonts w:hint="eastAsia" w:hAnsi="宋体" w:cs="宋体"/>
                <w:kern w:val="0"/>
                <w:sz w:val="24"/>
              </w:rPr>
              <w:t>修缮安装</w:t>
            </w:r>
            <w:r>
              <w:rPr>
                <w:rFonts w:hAnsi="宋体" w:cs="宋体"/>
                <w:kern w:val="0"/>
                <w:sz w:val="24"/>
              </w:rPr>
              <w:t>)</w:t>
            </w:r>
          </w:p>
        </w:tc>
        <w:tc>
          <w:tcPr>
            <w:tcW w:w="992"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仿古</w:t>
            </w:r>
          </w:p>
          <w:p>
            <w:pPr>
              <w:widowControl/>
              <w:spacing w:line="380" w:lineRule="exact"/>
              <w:ind w:firstLine="0" w:firstLineChars="0"/>
              <w:jc w:val="center"/>
              <w:rPr>
                <w:rFonts w:hAnsi="宋体" w:cs="宋体"/>
                <w:kern w:val="0"/>
                <w:sz w:val="24"/>
              </w:rPr>
            </w:pPr>
            <w:r>
              <w:rPr>
                <w:rFonts w:hAnsi="宋体" w:cs="宋体"/>
                <w:kern w:val="0"/>
                <w:sz w:val="24"/>
              </w:rPr>
              <w:t>(</w:t>
            </w:r>
            <w:r>
              <w:rPr>
                <w:rFonts w:hint="eastAsia" w:hAnsi="宋体" w:cs="宋体"/>
                <w:kern w:val="0"/>
                <w:sz w:val="24"/>
              </w:rPr>
              <w:t>园林</w:t>
            </w:r>
            <w:r>
              <w:rPr>
                <w:rFonts w:hAnsi="宋体" w:cs="宋体"/>
                <w:kern w:val="0"/>
                <w:sz w:val="24"/>
              </w:rPr>
              <w:t>)</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int="eastAsia" w:hAnsi="宋体" w:cs="宋体"/>
                <w:kern w:val="0"/>
                <w:sz w:val="24"/>
              </w:rPr>
              <w:t>城市轨道交通</w:t>
            </w:r>
          </w:p>
        </w:tc>
      </w:tr>
      <w:tr>
        <w:tblPrEx>
          <w:tblCellMar>
            <w:top w:w="0" w:type="dxa"/>
            <w:left w:w="108" w:type="dxa"/>
            <w:bottom w:w="0" w:type="dxa"/>
            <w:right w:w="108" w:type="dxa"/>
          </w:tblCellMar>
        </w:tblPrEx>
        <w:trPr>
          <w:cantSplit/>
          <w:trHeight w:val="826" w:hRule="atLeast"/>
        </w:trPr>
        <w:tc>
          <w:tcPr>
            <w:tcW w:w="1690" w:type="dxa"/>
            <w:gridSpan w:val="3"/>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71"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49" w:type="dxa"/>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09"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5"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1274"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992"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土建轨道</w:t>
            </w:r>
          </w:p>
        </w:tc>
        <w:tc>
          <w:tcPr>
            <w:tcW w:w="857" w:type="dxa"/>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安装</w:t>
            </w:r>
          </w:p>
        </w:tc>
      </w:tr>
      <w:tr>
        <w:tblPrEx>
          <w:tblCellMar>
            <w:top w:w="0" w:type="dxa"/>
            <w:left w:w="108" w:type="dxa"/>
            <w:bottom w:w="0" w:type="dxa"/>
            <w:right w:w="108" w:type="dxa"/>
          </w:tblCellMar>
        </w:tblPrEx>
        <w:trPr>
          <w:cantSplit/>
          <w:trHeight w:val="285"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夜间施工</w:t>
            </w:r>
          </w:p>
        </w:tc>
        <w:tc>
          <w:tcPr>
            <w:tcW w:w="771" w:type="dxa"/>
            <w:vMerge w:val="restart"/>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分部分项工程费</w:t>
            </w:r>
            <w:r>
              <w:rPr>
                <w:rFonts w:hAnsi="宋体" w:cs="宋体"/>
                <w:kern w:val="0"/>
                <w:sz w:val="24"/>
              </w:rPr>
              <w:t>+</w:t>
            </w:r>
            <w:r>
              <w:rPr>
                <w:rFonts w:hint="eastAsia" w:hAnsi="宋体" w:cs="宋体"/>
                <w:kern w:val="0"/>
                <w:sz w:val="24"/>
              </w:rPr>
              <w:t>单价措施项目费</w:t>
            </w:r>
            <w:r>
              <w:rPr>
                <w:rFonts w:hAnsi="宋体" w:cs="宋体"/>
                <w:kern w:val="0"/>
                <w:sz w:val="24"/>
              </w:rPr>
              <w:t>-</w:t>
            </w:r>
            <w:r>
              <w:rPr>
                <w:rFonts w:hint="eastAsia" w:hAnsi="宋体" w:cs="宋体"/>
                <w:kern w:val="0"/>
                <w:sz w:val="24"/>
              </w:rPr>
              <w:t>工程设备费</w:t>
            </w: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0.08</w:t>
            </w:r>
          </w:p>
        </w:tc>
        <w:tc>
          <w:tcPr>
            <w:tcW w:w="7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0.08</w:t>
            </w:r>
          </w:p>
        </w:tc>
        <w:tc>
          <w:tcPr>
            <w:tcW w:w="709"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0.08</w:t>
            </w:r>
          </w:p>
        </w:tc>
        <w:tc>
          <w:tcPr>
            <w:tcW w:w="855"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0.10</w:t>
            </w:r>
          </w:p>
        </w:tc>
        <w:tc>
          <w:tcPr>
            <w:tcW w:w="1274"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0.08</w:t>
            </w:r>
          </w:p>
        </w:tc>
        <w:tc>
          <w:tcPr>
            <w:tcW w:w="992"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0.08</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08</w:t>
            </w:r>
          </w:p>
        </w:tc>
      </w:tr>
      <w:tr>
        <w:tblPrEx>
          <w:tblCellMar>
            <w:top w:w="0" w:type="dxa"/>
            <w:left w:w="108" w:type="dxa"/>
            <w:bottom w:w="0" w:type="dxa"/>
            <w:right w:w="108" w:type="dxa"/>
          </w:tblCellMar>
        </w:tblPrEx>
        <w:trPr>
          <w:cantSplit/>
          <w:trHeight w:val="507"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非夜间</w:t>
            </w:r>
            <w:r>
              <w:rPr>
                <w:rFonts w:hAnsi="宋体" w:cs="宋体"/>
                <w:kern w:val="0"/>
                <w:sz w:val="24"/>
              </w:rPr>
              <w:t xml:space="preserve">     </w:t>
            </w:r>
            <w:r>
              <w:rPr>
                <w:rFonts w:hint="eastAsia" w:hAnsi="宋体" w:cs="宋体"/>
                <w:kern w:val="0"/>
                <w:sz w:val="24"/>
              </w:rPr>
              <w:t>施工照明</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0.2</w:t>
            </w:r>
          </w:p>
        </w:tc>
        <w:tc>
          <w:tcPr>
            <w:tcW w:w="7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0.2</w:t>
            </w:r>
          </w:p>
        </w:tc>
        <w:tc>
          <w:tcPr>
            <w:tcW w:w="709"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0.3</w:t>
            </w:r>
          </w:p>
        </w:tc>
        <w:tc>
          <w:tcPr>
            <w:tcW w:w="855"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c>
          <w:tcPr>
            <w:tcW w:w="1274"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 xml:space="preserve">0.2   </w:t>
            </w:r>
            <w:r>
              <w:rPr>
                <w:rFonts w:hint="eastAsia" w:hAnsi="宋体" w:cs="宋体"/>
                <w:kern w:val="0"/>
                <w:sz w:val="24"/>
              </w:rPr>
              <w:t>（</w:t>
            </w:r>
            <w:r>
              <w:rPr>
                <w:rFonts w:hAnsi="宋体" w:cs="宋体"/>
                <w:kern w:val="0"/>
                <w:sz w:val="24"/>
              </w:rPr>
              <w:t>0.3</w:t>
            </w:r>
            <w:r>
              <w:rPr>
                <w:rFonts w:hint="eastAsia" w:hAnsi="宋体" w:cs="宋体"/>
                <w:kern w:val="0"/>
                <w:sz w:val="24"/>
              </w:rPr>
              <w:t>）</w:t>
            </w:r>
          </w:p>
        </w:tc>
        <w:tc>
          <w:tcPr>
            <w:tcW w:w="992"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0.3</w:t>
            </w:r>
          </w:p>
        </w:tc>
        <w:tc>
          <w:tcPr>
            <w:tcW w:w="170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r>
      <w:tr>
        <w:tblPrEx>
          <w:tblCellMar>
            <w:top w:w="0" w:type="dxa"/>
            <w:left w:w="108" w:type="dxa"/>
            <w:bottom w:w="0" w:type="dxa"/>
            <w:right w:w="108" w:type="dxa"/>
          </w:tblCellMar>
        </w:tblPrEx>
        <w:trPr>
          <w:cantSplit/>
          <w:trHeight w:val="2506" w:hRule="atLeast"/>
        </w:trPr>
        <w:tc>
          <w:tcPr>
            <w:tcW w:w="489" w:type="dxa"/>
            <w:vMerge w:val="restart"/>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二次搬运</w:t>
            </w:r>
          </w:p>
        </w:tc>
        <w:tc>
          <w:tcPr>
            <w:tcW w:w="1201" w:type="dxa"/>
            <w:gridSpan w:val="2"/>
            <w:tcBorders>
              <w:top w:val="nil"/>
              <w:left w:val="single" w:color="auto" w:sz="4" w:space="0"/>
              <w:bottom w:val="single" w:color="auto" w:sz="4" w:space="0"/>
              <w:right w:val="single" w:color="auto" w:sz="4" w:space="0"/>
            </w:tcBorders>
            <w:noWrap/>
          </w:tcPr>
          <w:p>
            <w:pPr>
              <w:widowControl/>
              <w:spacing w:line="380" w:lineRule="exact"/>
              <w:ind w:firstLine="0" w:firstLineChars="0"/>
              <w:jc w:val="center"/>
              <w:rPr>
                <w:rFonts w:hAnsi="宋体" w:cs="宋体"/>
                <w:kern w:val="0"/>
                <w:sz w:val="24"/>
              </w:rPr>
            </w:pPr>
            <w:r>
              <w:rPr>
                <w:rFonts w:hint="eastAsia" w:hAnsi="宋体" w:cs="宋体"/>
                <w:kern w:val="0"/>
                <w:sz w:val="24"/>
              </w:rPr>
              <w:t>汽车不能进入的小街小巷、无材料堆放场地的工程</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139" w:type="dxa"/>
            <w:gridSpan w:val="1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r>
      <w:tr>
        <w:tblPrEx>
          <w:tblCellMar>
            <w:top w:w="0" w:type="dxa"/>
            <w:left w:w="108" w:type="dxa"/>
            <w:bottom w:w="0" w:type="dxa"/>
            <w:right w:w="108" w:type="dxa"/>
          </w:tblCellMar>
        </w:tblPrEx>
        <w:trPr>
          <w:cantSplit/>
          <w:trHeight w:val="285" w:hRule="atLeast"/>
        </w:trPr>
        <w:tc>
          <w:tcPr>
            <w:tcW w:w="489"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1201" w:type="dxa"/>
            <w:gridSpan w:val="2"/>
            <w:tcBorders>
              <w:top w:val="nil"/>
              <w:left w:val="single" w:color="auto" w:sz="4" w:space="0"/>
              <w:bottom w:val="single" w:color="auto" w:sz="4" w:space="0"/>
              <w:right w:val="single" w:color="auto" w:sz="4" w:space="0"/>
            </w:tcBorders>
            <w:vAlign w:val="center"/>
          </w:tcPr>
          <w:p>
            <w:pPr>
              <w:spacing w:line="380" w:lineRule="exact"/>
              <w:ind w:firstLine="0" w:firstLineChars="0"/>
              <w:jc w:val="center"/>
              <w:rPr>
                <w:rFonts w:hAnsi="宋体" w:cs="宋体"/>
                <w:kern w:val="0"/>
                <w:sz w:val="24"/>
              </w:rPr>
            </w:pPr>
            <w:r>
              <w:rPr>
                <w:rFonts w:hint="eastAsia" w:hAnsi="宋体" w:cs="宋体"/>
                <w:kern w:val="0"/>
                <w:sz w:val="24"/>
              </w:rPr>
              <w:t>山上工程</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139" w:type="dxa"/>
            <w:gridSpan w:val="1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根据实际情况，在合同中约定。</w:t>
            </w:r>
          </w:p>
        </w:tc>
      </w:tr>
      <w:tr>
        <w:tblPrEx>
          <w:tblCellMar>
            <w:top w:w="0" w:type="dxa"/>
            <w:left w:w="108" w:type="dxa"/>
            <w:bottom w:w="0" w:type="dxa"/>
            <w:right w:w="108" w:type="dxa"/>
          </w:tblCellMar>
        </w:tblPrEx>
        <w:trPr>
          <w:cantSplit/>
          <w:trHeight w:val="285"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冬雨季施工</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0.18</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0.09</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0.09</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0.25</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0.18</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0.18</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Ansi="宋体" w:cs="宋体"/>
                <w:kern w:val="0"/>
                <w:sz w:val="24"/>
              </w:rPr>
              <w:t>0.0</w:t>
            </w:r>
            <w:r>
              <w:rPr>
                <w:rFonts w:hint="eastAsia" w:hAnsi="宋体" w:cs="宋体"/>
                <w:kern w:val="0"/>
                <w:sz w:val="24"/>
              </w:rPr>
              <w:t>8</w:t>
            </w:r>
          </w:p>
        </w:tc>
      </w:tr>
      <w:tr>
        <w:tblPrEx>
          <w:tblCellMar>
            <w:top w:w="0" w:type="dxa"/>
            <w:left w:w="108" w:type="dxa"/>
            <w:bottom w:w="0" w:type="dxa"/>
            <w:right w:w="108" w:type="dxa"/>
          </w:tblCellMar>
        </w:tblPrEx>
        <w:trPr>
          <w:cantSplit/>
          <w:trHeight w:val="285"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已完工程及设备保护</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0.05</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0.05</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0.02</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0.05</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0.10</w:t>
            </w:r>
          </w:p>
        </w:tc>
        <w:tc>
          <w:tcPr>
            <w:tcW w:w="8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0.02</w:t>
            </w:r>
          </w:p>
        </w:tc>
        <w:tc>
          <w:tcPr>
            <w:tcW w:w="857"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0.05</w:t>
            </w:r>
          </w:p>
        </w:tc>
      </w:tr>
      <w:tr>
        <w:tblPrEx>
          <w:tblCellMar>
            <w:top w:w="0" w:type="dxa"/>
            <w:left w:w="108" w:type="dxa"/>
            <w:bottom w:w="0" w:type="dxa"/>
            <w:right w:w="108" w:type="dxa"/>
          </w:tblCellMar>
        </w:tblPrEx>
        <w:trPr>
          <w:cantSplit/>
          <w:trHeight w:val="600"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临时设施</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2.00</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1.20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1.80</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1.80</w:t>
            </w:r>
          </w:p>
          <w:p>
            <w:pPr>
              <w:widowControl/>
              <w:spacing w:line="380" w:lineRule="exact"/>
              <w:ind w:firstLine="0" w:firstLineChars="0"/>
              <w:jc w:val="center"/>
              <w:rPr>
                <w:rFonts w:hAnsi="宋体" w:cs="宋体"/>
                <w:kern w:val="0"/>
                <w:sz w:val="24"/>
              </w:rPr>
            </w:pPr>
            <w:r>
              <w:rPr>
                <w:rFonts w:hAnsi="宋体" w:cs="宋体"/>
                <w:kern w:val="0"/>
                <w:sz w:val="24"/>
              </w:rPr>
              <w:t>(1.20)</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2.20</w:t>
            </w:r>
          </w:p>
          <w:p>
            <w:pPr>
              <w:widowControl/>
              <w:spacing w:line="380" w:lineRule="exact"/>
              <w:ind w:firstLine="0" w:firstLineChars="0"/>
              <w:jc w:val="center"/>
              <w:rPr>
                <w:rFonts w:hAnsi="宋体" w:cs="宋体"/>
                <w:kern w:val="0"/>
                <w:sz w:val="24"/>
              </w:rPr>
            </w:pPr>
            <w:r>
              <w:rPr>
                <w:rFonts w:hAnsi="宋体" w:cs="宋体"/>
                <w:kern w:val="0"/>
                <w:sz w:val="24"/>
              </w:rPr>
              <w:t>(0.6)</w:t>
            </w:r>
          </w:p>
        </w:tc>
        <w:tc>
          <w:tcPr>
            <w:tcW w:w="170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3</w:t>
            </w:r>
            <w:r>
              <w:rPr>
                <w:rFonts w:hAnsi="宋体" w:cs="宋体"/>
                <w:kern w:val="0"/>
                <w:sz w:val="24"/>
              </w:rPr>
              <w:t>0</w:t>
            </w:r>
          </w:p>
        </w:tc>
      </w:tr>
      <w:tr>
        <w:tblPrEx>
          <w:tblCellMar>
            <w:top w:w="0" w:type="dxa"/>
            <w:left w:w="108" w:type="dxa"/>
            <w:bottom w:w="0" w:type="dxa"/>
            <w:right w:w="108" w:type="dxa"/>
          </w:tblCellMar>
        </w:tblPrEx>
        <w:trPr>
          <w:cantSplit/>
          <w:trHeight w:val="285"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赶工措施</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5430" w:type="dxa"/>
            <w:gridSpan w:val="10"/>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（提前天数／定额工期天数）×</w:t>
            </w:r>
            <w:r>
              <w:rPr>
                <w:rFonts w:hAnsi="宋体" w:cs="宋体"/>
                <w:kern w:val="0"/>
                <w:sz w:val="24"/>
              </w:rPr>
              <w:t>2.</w:t>
            </w:r>
            <w:r>
              <w:rPr>
                <w:rFonts w:hint="eastAsia" w:hAnsi="宋体" w:cs="宋体"/>
                <w:kern w:val="0"/>
                <w:sz w:val="24"/>
              </w:rPr>
              <w:t>0</w:t>
            </w:r>
            <w:r>
              <w:rPr>
                <w:rFonts w:hAnsi="宋体" w:cs="宋体"/>
                <w:kern w:val="0"/>
                <w:sz w:val="24"/>
              </w:rPr>
              <w:t>0</w:t>
            </w:r>
            <w:r>
              <w:rPr>
                <w:rFonts w:hint="eastAsia" w:hAnsi="宋体" w:cs="宋体"/>
                <w:kern w:val="0"/>
                <w:sz w:val="24"/>
              </w:rPr>
              <w:t>／</w:t>
            </w:r>
            <w:r>
              <w:rPr>
                <w:rFonts w:hAnsi="宋体" w:cs="宋体"/>
                <w:kern w:val="0"/>
                <w:sz w:val="24"/>
              </w:rPr>
              <w:t>0.35</w:t>
            </w:r>
          </w:p>
        </w:tc>
        <w:tc>
          <w:tcPr>
            <w:tcW w:w="1709"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（提前天数／定额工期天数）×1</w:t>
            </w:r>
            <w:r>
              <w:rPr>
                <w:rFonts w:hAnsi="宋体" w:cs="宋体"/>
                <w:kern w:val="0"/>
                <w:sz w:val="24"/>
              </w:rPr>
              <w:t>.</w:t>
            </w:r>
            <w:r>
              <w:rPr>
                <w:rFonts w:hint="eastAsia" w:hAnsi="宋体" w:cs="宋体"/>
                <w:kern w:val="0"/>
                <w:sz w:val="24"/>
              </w:rPr>
              <w:t>2</w:t>
            </w:r>
            <w:r>
              <w:rPr>
                <w:rFonts w:hAnsi="宋体" w:cs="宋体"/>
                <w:kern w:val="0"/>
                <w:sz w:val="24"/>
              </w:rPr>
              <w:t>0</w:t>
            </w:r>
            <w:r>
              <w:rPr>
                <w:rFonts w:hint="eastAsia" w:hAnsi="宋体" w:cs="宋体"/>
                <w:kern w:val="0"/>
                <w:sz w:val="24"/>
              </w:rPr>
              <w:t>／</w:t>
            </w:r>
            <w:r>
              <w:rPr>
                <w:rFonts w:hAnsi="宋体" w:cs="宋体"/>
                <w:kern w:val="0"/>
                <w:sz w:val="24"/>
              </w:rPr>
              <w:t>0.35</w:t>
            </w:r>
          </w:p>
        </w:tc>
      </w:tr>
      <w:tr>
        <w:tblPrEx>
          <w:tblCellMar>
            <w:top w:w="0" w:type="dxa"/>
            <w:left w:w="108" w:type="dxa"/>
            <w:bottom w:w="0" w:type="dxa"/>
            <w:right w:w="108" w:type="dxa"/>
          </w:tblCellMar>
        </w:tblPrEx>
        <w:trPr>
          <w:cantSplit/>
          <w:trHeight w:val="285" w:hRule="atLeast"/>
        </w:trPr>
        <w:tc>
          <w:tcPr>
            <w:tcW w:w="845" w:type="dxa"/>
            <w:gridSpan w:val="2"/>
            <w:vMerge w:val="restart"/>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按质论价</w:t>
            </w:r>
          </w:p>
        </w:tc>
        <w:tc>
          <w:tcPr>
            <w:tcW w:w="84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县级市优</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0.60</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0.60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0.60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0.50</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0.60</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0.60</w:t>
            </w:r>
          </w:p>
        </w:tc>
        <w:tc>
          <w:tcPr>
            <w:tcW w:w="170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r>
      <w:tr>
        <w:tblPrEx>
          <w:tblCellMar>
            <w:top w:w="0" w:type="dxa"/>
            <w:left w:w="108" w:type="dxa"/>
            <w:bottom w:w="0" w:type="dxa"/>
            <w:right w:w="108" w:type="dxa"/>
          </w:tblCellMar>
        </w:tblPrEx>
        <w:trPr>
          <w:cantSplit/>
          <w:trHeight w:val="285" w:hRule="atLeast"/>
        </w:trPr>
        <w:tc>
          <w:tcPr>
            <w:tcW w:w="845" w:type="dxa"/>
            <w:gridSpan w:val="2"/>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市优</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0.8</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1.00</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Ansi="宋体" w:cs="宋体"/>
                <w:kern w:val="0"/>
                <w:sz w:val="24"/>
              </w:rPr>
              <w:t>0.5</w:t>
            </w:r>
          </w:p>
        </w:tc>
      </w:tr>
      <w:tr>
        <w:tblPrEx>
          <w:tblCellMar>
            <w:top w:w="0" w:type="dxa"/>
            <w:left w:w="108" w:type="dxa"/>
            <w:bottom w:w="0" w:type="dxa"/>
            <w:right w:w="108" w:type="dxa"/>
          </w:tblCellMar>
        </w:tblPrEx>
        <w:trPr>
          <w:cantSplit/>
          <w:trHeight w:val="285" w:hRule="atLeast"/>
        </w:trPr>
        <w:tc>
          <w:tcPr>
            <w:tcW w:w="845" w:type="dxa"/>
            <w:gridSpan w:val="2"/>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省优</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2.00</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1.6</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1.50</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1.80</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Ansi="宋体" w:cs="宋体"/>
                <w:kern w:val="0"/>
                <w:sz w:val="24"/>
              </w:rPr>
              <w:t>0.8</w:t>
            </w:r>
          </w:p>
        </w:tc>
      </w:tr>
      <w:tr>
        <w:tblPrEx>
          <w:tblCellMar>
            <w:top w:w="0" w:type="dxa"/>
            <w:left w:w="108" w:type="dxa"/>
            <w:bottom w:w="0" w:type="dxa"/>
            <w:right w:w="108" w:type="dxa"/>
          </w:tblCellMar>
        </w:tblPrEx>
        <w:trPr>
          <w:cantSplit/>
          <w:trHeight w:val="285" w:hRule="atLeast"/>
        </w:trPr>
        <w:tc>
          <w:tcPr>
            <w:tcW w:w="845" w:type="dxa"/>
            <w:gridSpan w:val="2"/>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国优</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3.00</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3.00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3.00</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2.5</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2.00</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2.50</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Ansi="宋体" w:cs="宋体"/>
                <w:kern w:val="0"/>
                <w:sz w:val="24"/>
              </w:rPr>
              <w:t>1.2</w:t>
            </w:r>
          </w:p>
        </w:tc>
      </w:tr>
      <w:tr>
        <w:tblPrEx>
          <w:tblCellMar>
            <w:top w:w="0" w:type="dxa"/>
            <w:left w:w="108" w:type="dxa"/>
            <w:bottom w:w="0" w:type="dxa"/>
            <w:right w:w="108" w:type="dxa"/>
          </w:tblCellMar>
        </w:tblPrEx>
        <w:trPr>
          <w:cantSplit/>
          <w:trHeight w:val="285" w:hRule="atLeast"/>
        </w:trPr>
        <w:tc>
          <w:tcPr>
            <w:tcW w:w="169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住宅分户验收</w:t>
            </w:r>
          </w:p>
        </w:tc>
        <w:tc>
          <w:tcPr>
            <w:tcW w:w="771"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54"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0.4</w:t>
            </w:r>
          </w:p>
        </w:tc>
        <w:tc>
          <w:tcPr>
            <w:tcW w:w="98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0.1</w:t>
            </w:r>
          </w:p>
        </w:tc>
        <w:tc>
          <w:tcPr>
            <w:tcW w:w="72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c>
          <w:tcPr>
            <w:tcW w:w="1397"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c>
          <w:tcPr>
            <w:tcW w:w="755"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c>
          <w:tcPr>
            <w:tcW w:w="1706"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int="eastAsia" w:hAnsi="宋体" w:cs="宋体"/>
                <w:kern w:val="0"/>
                <w:sz w:val="24"/>
              </w:rPr>
              <w:t>—</w:t>
            </w:r>
          </w:p>
        </w:tc>
      </w:tr>
    </w:tbl>
    <w:p>
      <w:pPr>
        <w:ind w:firstLine="560"/>
        <w:rPr>
          <w:rFonts w:ascii="Calibri" w:hAnsi="Calibri"/>
          <w:szCs w:val="32"/>
        </w:rPr>
      </w:pPr>
    </w:p>
    <w:p>
      <w:pPr>
        <w:spacing w:line="460" w:lineRule="exact"/>
        <w:ind w:firstLine="0" w:firstLineChars="0"/>
        <w:rPr>
          <w:rFonts w:ascii="仿宋_GB2312"/>
        </w:rPr>
      </w:pPr>
      <w:r>
        <w:rPr>
          <w:rFonts w:hint="eastAsia" w:ascii="仿宋_GB2312"/>
        </w:rPr>
        <w:t>附件2：</w:t>
      </w:r>
    </w:p>
    <w:p>
      <w:pPr>
        <w:spacing w:line="460" w:lineRule="exact"/>
        <w:ind w:firstLine="0" w:firstLineChars="0"/>
        <w:rPr>
          <w:rFonts w:ascii="仿宋_GB2312"/>
        </w:rPr>
      </w:pPr>
    </w:p>
    <w:p>
      <w:pPr>
        <w:pStyle w:val="5"/>
      </w:pPr>
      <w:bookmarkStart w:id="561" w:name="_Toc29556"/>
      <w:bookmarkStart w:id="562" w:name="_Toc11571"/>
      <w:bookmarkStart w:id="563" w:name="_Toc1762"/>
      <w:bookmarkStart w:id="564" w:name="_Toc17814"/>
      <w:bookmarkStart w:id="565" w:name="_Toc25658"/>
      <w:bookmarkStart w:id="566" w:name="_Toc25925"/>
      <w:bookmarkStart w:id="567" w:name="_Toc27672"/>
      <w:bookmarkStart w:id="568" w:name="_Toc31391"/>
      <w:r>
        <w:t>江苏省住房和城乡建设厅文件</w:t>
      </w:r>
      <w:bookmarkEnd w:id="561"/>
      <w:bookmarkEnd w:id="562"/>
      <w:bookmarkEnd w:id="563"/>
      <w:bookmarkEnd w:id="564"/>
      <w:bookmarkEnd w:id="565"/>
      <w:bookmarkEnd w:id="566"/>
      <w:bookmarkEnd w:id="567"/>
      <w:bookmarkEnd w:id="568"/>
    </w:p>
    <w:p>
      <w:pPr>
        <w:pStyle w:val="5"/>
      </w:pPr>
    </w:p>
    <w:p>
      <w:pPr>
        <w:pStyle w:val="4"/>
      </w:pPr>
      <w:bookmarkStart w:id="569" w:name="_Toc20785"/>
      <w:bookmarkStart w:id="570" w:name="_Toc16085"/>
      <w:bookmarkStart w:id="571" w:name="_Toc29019"/>
      <w:bookmarkStart w:id="572" w:name="_Toc17745"/>
      <w:bookmarkStart w:id="573" w:name="_Toc27440"/>
      <w:bookmarkStart w:id="574" w:name="_Toc8748"/>
      <w:bookmarkStart w:id="575" w:name="_Toc10534"/>
      <w:bookmarkStart w:id="576" w:name="_Toc24137"/>
      <w:bookmarkStart w:id="577" w:name="_Toc15029"/>
      <w:bookmarkStart w:id="578" w:name="_Toc12267"/>
      <w:bookmarkStart w:id="579" w:name="_Toc30676"/>
      <w:r>
        <w:rPr>
          <w:rFonts w:hint="eastAsia"/>
        </w:rPr>
        <w:t>苏建价〔2014〕448号</w:t>
      </w:r>
      <w:bookmarkEnd w:id="569"/>
      <w:bookmarkEnd w:id="570"/>
      <w:bookmarkEnd w:id="571"/>
      <w:bookmarkEnd w:id="572"/>
      <w:bookmarkEnd w:id="573"/>
      <w:bookmarkEnd w:id="574"/>
      <w:bookmarkEnd w:id="575"/>
      <w:bookmarkEnd w:id="576"/>
      <w:bookmarkEnd w:id="577"/>
      <w:bookmarkEnd w:id="578"/>
      <w:bookmarkEnd w:id="579"/>
    </w:p>
    <w:p>
      <w:pPr>
        <w:ind w:firstLine="560"/>
      </w:pPr>
    </w:p>
    <w:p>
      <w:pPr>
        <w:widowControl/>
        <w:spacing w:line="360" w:lineRule="auto"/>
        <w:ind w:firstLine="300"/>
        <w:rPr>
          <w:rFonts w:ascii="Arial" w:hAnsi="Arial" w:cs="Arial"/>
          <w:color w:val="000000"/>
          <w:kern w:val="0"/>
          <w:sz w:val="15"/>
          <w:szCs w:val="15"/>
        </w:rPr>
      </w:pP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fldChar w:fldCharType="begin"/>
      </w:r>
      <w:r>
        <w:rPr>
          <w:rFonts w:ascii="Arial" w:hAnsi="Arial" w:cs="Arial"/>
          <w:color w:val="000000"/>
          <w:kern w:val="0"/>
          <w:sz w:val="15"/>
          <w:szCs w:val="15"/>
        </w:rPr>
        <w:instrText xml:space="preserve"> INCLUDEPICTURE  "http://www.jszj.com.cn/zaojia/uploadfile/20140903130123001.jpg" \* MERGEFORMATINET </w:instrText>
      </w:r>
      <w:r>
        <w:rPr>
          <w:rFonts w:ascii="Arial" w:hAnsi="Arial" w:cs="Arial"/>
          <w:color w:val="000000"/>
          <w:kern w:val="0"/>
          <w:sz w:val="15"/>
          <w:szCs w:val="15"/>
        </w:rPr>
        <w:fldChar w:fldCharType="separate"/>
      </w:r>
      <w:r>
        <w:rPr>
          <w:rFonts w:ascii="Arial" w:hAnsi="Arial" w:cs="Arial"/>
          <w:color w:val="000000"/>
          <w:kern w:val="0"/>
          <w:sz w:val="15"/>
          <w:szCs w:val="15"/>
        </w:rPr>
        <w:pict>
          <v:shape id="_x0000_i1026" o:spt="75" type="#_x0000_t75" style="height:1.8pt;width:441.6pt;" filled="f" o:preferrelative="t" stroked="f" coordsize="21600,21600">
            <v:path/>
            <v:fill on="f" focussize="0,0"/>
            <v:stroke on="f" joinstyle="miter"/>
            <v:imagedata r:id="rId43" r:href="rId44" o:title=""/>
            <o:lock v:ext="edit" aspectratio="t"/>
            <w10:wrap type="none"/>
            <w10:anchorlock/>
          </v:shape>
        </w:pict>
      </w:r>
      <w:r>
        <w:rPr>
          <w:rFonts w:ascii="Arial" w:hAnsi="Arial" w:cs="Arial"/>
          <w:color w:val="000000"/>
          <w:kern w:val="0"/>
          <w:sz w:val="15"/>
          <w:szCs w:val="15"/>
        </w:rPr>
        <w:fldChar w:fldCharType="end"/>
      </w:r>
      <w:r>
        <w:rPr>
          <w:rFonts w:ascii="Arial" w:hAnsi="Arial" w:cs="Arial"/>
          <w:color w:val="000000"/>
          <w:kern w:val="0"/>
          <w:sz w:val="15"/>
          <w:szCs w:val="15"/>
        </w:rPr>
        <w:fldChar w:fldCharType="end"/>
      </w:r>
      <w:r>
        <w:rPr>
          <w:rFonts w:ascii="Arial" w:hAnsi="Arial" w:cs="Arial"/>
          <w:color w:val="000000"/>
          <w:kern w:val="0"/>
          <w:sz w:val="15"/>
          <w:szCs w:val="15"/>
        </w:rPr>
        <w:fldChar w:fldCharType="end"/>
      </w:r>
      <w:r>
        <w:rPr>
          <w:rFonts w:ascii="Arial" w:hAnsi="Arial" w:cs="Arial"/>
          <w:color w:val="000000"/>
          <w:kern w:val="0"/>
          <w:sz w:val="15"/>
          <w:szCs w:val="15"/>
        </w:rPr>
        <w:fldChar w:fldCharType="end"/>
      </w:r>
      <w:r>
        <w:rPr>
          <w:rFonts w:ascii="Arial" w:hAnsi="Arial" w:cs="Arial"/>
          <w:color w:val="000000"/>
          <w:kern w:val="0"/>
          <w:sz w:val="15"/>
          <w:szCs w:val="15"/>
        </w:rPr>
        <w:fldChar w:fldCharType="end"/>
      </w:r>
      <w:r>
        <w:rPr>
          <w:rFonts w:ascii="Arial" w:hAnsi="Arial" w:cs="Arial"/>
          <w:color w:val="000000"/>
          <w:kern w:val="0"/>
          <w:sz w:val="15"/>
          <w:szCs w:val="15"/>
        </w:rPr>
        <w:fldChar w:fldCharType="end"/>
      </w:r>
      <w:r>
        <w:rPr>
          <w:rFonts w:ascii="Arial" w:hAnsi="Arial" w:cs="Arial"/>
          <w:color w:val="000000"/>
          <w:kern w:val="0"/>
          <w:sz w:val="15"/>
          <w:szCs w:val="15"/>
        </w:rPr>
        <w:fldChar w:fldCharType="end"/>
      </w:r>
    </w:p>
    <w:p>
      <w:pPr>
        <w:widowControl/>
        <w:spacing w:line="360" w:lineRule="auto"/>
        <w:ind w:firstLine="562"/>
        <w:jc w:val="center"/>
        <w:rPr>
          <w:rFonts w:ascii="Arial" w:hAnsi="Arial" w:cs="Arial"/>
          <w:b/>
          <w:bCs/>
          <w:color w:val="000000"/>
          <w:kern w:val="0"/>
          <w:szCs w:val="32"/>
        </w:rPr>
      </w:pPr>
    </w:p>
    <w:p>
      <w:pPr>
        <w:pStyle w:val="3"/>
      </w:pPr>
      <w:bookmarkStart w:id="580" w:name="_Toc28299"/>
      <w:bookmarkStart w:id="581" w:name="_Toc3067"/>
      <w:bookmarkStart w:id="582" w:name="_Toc4403"/>
      <w:bookmarkStart w:id="583" w:name="_Toc4599"/>
      <w:bookmarkStart w:id="584" w:name="_Toc3933"/>
      <w:bookmarkStart w:id="585" w:name="_Toc9036"/>
      <w:bookmarkStart w:id="586" w:name="_Toc6018"/>
      <w:bookmarkStart w:id="587" w:name="_Toc14383"/>
      <w:bookmarkStart w:id="588" w:name="_Toc4251"/>
      <w:bookmarkStart w:id="589" w:name="_Toc7113"/>
      <w:bookmarkStart w:id="590" w:name="_Toc12396"/>
      <w:bookmarkStart w:id="591" w:name="_Toc15986"/>
      <w:bookmarkStart w:id="592" w:name="_Toc8976"/>
      <w:bookmarkStart w:id="593" w:name="_Toc28468"/>
      <w:r>
        <w:rPr>
          <w:rFonts w:hint="eastAsia"/>
        </w:rPr>
        <w:t>省住房城乡建设厅关于《建设工程工程量清单</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pPr>
        <w:pStyle w:val="3"/>
      </w:pPr>
      <w:bookmarkStart w:id="594" w:name="_Toc13974"/>
      <w:bookmarkStart w:id="595" w:name="_Toc32086"/>
      <w:bookmarkStart w:id="596" w:name="_Toc6970"/>
      <w:bookmarkStart w:id="597" w:name="_Toc11856"/>
      <w:bookmarkStart w:id="598" w:name="_Toc8309"/>
      <w:bookmarkStart w:id="599" w:name="_Toc26854"/>
      <w:bookmarkStart w:id="600" w:name="_Toc25805"/>
      <w:bookmarkStart w:id="601" w:name="_Toc17997"/>
      <w:bookmarkStart w:id="602" w:name="_Toc18629"/>
      <w:bookmarkStart w:id="603" w:name="_Toc18983"/>
      <w:bookmarkStart w:id="604" w:name="_Toc31644"/>
      <w:bookmarkStart w:id="605" w:name="_Toc16900"/>
      <w:bookmarkStart w:id="606" w:name="_Toc11831"/>
      <w:bookmarkStart w:id="607" w:name="_Toc9829"/>
      <w:r>
        <w:rPr>
          <w:rFonts w:hint="eastAsia"/>
        </w:rPr>
        <w:t>计价规范》（GB50500—2013）及其9本</w:t>
      </w:r>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p>
    <w:p>
      <w:pPr>
        <w:pStyle w:val="3"/>
      </w:pPr>
      <w:bookmarkStart w:id="608" w:name="_Toc32285"/>
      <w:bookmarkStart w:id="609" w:name="_Toc26376"/>
      <w:bookmarkStart w:id="610" w:name="_Toc27204"/>
      <w:bookmarkStart w:id="611" w:name="_Toc26259"/>
      <w:bookmarkStart w:id="612" w:name="_Toc14666"/>
      <w:bookmarkStart w:id="613" w:name="_Toc15705"/>
      <w:bookmarkStart w:id="614" w:name="_Toc27926"/>
      <w:bookmarkStart w:id="615" w:name="_Toc5102"/>
      <w:bookmarkStart w:id="616" w:name="_Toc31533"/>
      <w:bookmarkStart w:id="617" w:name="_Toc2480"/>
      <w:bookmarkStart w:id="618" w:name="_Toc28305"/>
      <w:bookmarkStart w:id="619" w:name="_Toc23658"/>
      <w:bookmarkStart w:id="620" w:name="_Toc23494"/>
      <w:bookmarkStart w:id="621" w:name="_Toc22029"/>
      <w:r>
        <w:rPr>
          <w:rFonts w:hint="eastAsia"/>
        </w:rPr>
        <w:t>工程量计算规范的贯彻意见</w:t>
      </w:r>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pPr>
        <w:widowControl/>
        <w:spacing w:line="500" w:lineRule="exact"/>
        <w:ind w:firstLine="560"/>
        <w:rPr>
          <w:rFonts w:ascii="仿宋_GB2312" w:hAnsi="Arial" w:cs="Arial"/>
          <w:color w:val="000000"/>
          <w:kern w:val="0"/>
          <w:szCs w:val="28"/>
        </w:rPr>
      </w:pPr>
    </w:p>
    <w:p>
      <w:pPr>
        <w:ind w:firstLine="0" w:firstLineChars="0"/>
      </w:pPr>
      <w:r>
        <w:rPr>
          <w:rFonts w:hint="eastAsia"/>
        </w:rPr>
        <w:t>各省辖市建设局（建委），省各有关厅（局），各有关单位：</w:t>
      </w:r>
    </w:p>
    <w:p>
      <w:pPr>
        <w:ind w:firstLine="560"/>
      </w:pPr>
      <w:r>
        <w:rPr>
          <w:rFonts w:hint="eastAsia"/>
        </w:rPr>
        <w:t>为贯彻执行《建设工程工程量清单计价规范》（GB50500—2013）（以下简称“2013版计价规范”）及《房屋建筑与装饰工程工程量计算规范》（GB50854-2013）等9本工程量计算规范（以下简称“2013版计算规范”），现结合我省实际情况，就执行2013版计价规范和计算规范的有关问题提出如下意见，请遵照执行。</w:t>
      </w:r>
    </w:p>
    <w:p>
      <w:pPr>
        <w:ind w:firstLine="562"/>
        <w:outlineLvl w:val="1"/>
        <w:rPr>
          <w:b/>
          <w:bCs/>
        </w:rPr>
      </w:pPr>
      <w:bookmarkStart w:id="622" w:name="_Toc7654"/>
      <w:bookmarkStart w:id="623" w:name="_Toc31553"/>
      <w:bookmarkStart w:id="624" w:name="_Toc15455"/>
      <w:bookmarkStart w:id="625" w:name="_Toc8116"/>
      <w:bookmarkStart w:id="626" w:name="_Toc14259"/>
      <w:bookmarkStart w:id="627" w:name="_Toc5604"/>
      <w:bookmarkStart w:id="628" w:name="_Toc5395"/>
      <w:bookmarkStart w:id="629" w:name="_Toc19823"/>
      <w:bookmarkStart w:id="630" w:name="_Toc10210"/>
      <w:bookmarkStart w:id="631" w:name="_Toc521"/>
      <w:bookmarkStart w:id="632" w:name="_Toc19490"/>
      <w:bookmarkStart w:id="633" w:name="_Toc27093"/>
      <w:bookmarkStart w:id="634" w:name="_Toc23189"/>
      <w:r>
        <w:rPr>
          <w:rFonts w:hint="eastAsia"/>
          <w:b/>
          <w:bCs/>
        </w:rPr>
        <w:t>一、严格执行2013版计价规范和计算规范</w:t>
      </w:r>
      <w:bookmarkEnd w:id="622"/>
      <w:bookmarkEnd w:id="623"/>
      <w:bookmarkEnd w:id="624"/>
      <w:bookmarkEnd w:id="625"/>
      <w:bookmarkEnd w:id="626"/>
      <w:bookmarkEnd w:id="627"/>
      <w:bookmarkEnd w:id="628"/>
      <w:bookmarkEnd w:id="629"/>
      <w:bookmarkEnd w:id="630"/>
      <w:bookmarkEnd w:id="631"/>
      <w:bookmarkEnd w:id="632"/>
      <w:bookmarkEnd w:id="633"/>
      <w:bookmarkEnd w:id="634"/>
    </w:p>
    <w:p>
      <w:pPr>
        <w:ind w:firstLine="560"/>
      </w:pPr>
      <w:r>
        <w:rPr>
          <w:rFonts w:hint="eastAsia"/>
        </w:rPr>
        <w:t>1、2013版计价规范和计算规范作为国家标准，规范了工程建设各方的计价行为，统一了建设工程计价文件的编制原则和计价方法。工程建设各方在建设工程计价管理活动中应严格执行2013版计价规范和计算规范。</w:t>
      </w:r>
    </w:p>
    <w:p>
      <w:pPr>
        <w:ind w:firstLine="560"/>
      </w:pPr>
      <w:r>
        <w:rPr>
          <w:rFonts w:hint="eastAsia"/>
        </w:rPr>
        <w:t>2、国有资金投资的建设工程项目以及依法必须招标的非国有资金投资建设工程项目，必须采用工程量清单计价，严格执行2013版计价规范和计算规范。</w:t>
      </w:r>
    </w:p>
    <w:p>
      <w:pPr>
        <w:ind w:firstLine="560"/>
      </w:pPr>
      <w:r>
        <w:rPr>
          <w:rFonts w:hint="eastAsia"/>
        </w:rPr>
        <w:t>3、工程造价文件的编制与审核（核对）应由具有相应资格的工程造价专业人员承担。接受委托从事建设工程造价咨询活动的企业应具有相应的工程造价咨询资质。招标代理机构可以在其资格等级范围内从事其代理招标的建设工程项目的工程量清单与招标控制价的编制工作。</w:t>
      </w:r>
    </w:p>
    <w:p>
      <w:pPr>
        <w:ind w:firstLine="560"/>
      </w:pPr>
      <w:r>
        <w:rPr>
          <w:rFonts w:hint="eastAsia"/>
        </w:rPr>
        <w:t>4、国有资金投资的建设工程招标，招标人必须编制招标控制价。招标控制价作为最高投标限价，应按照2013版计价规范和计算规范的规定编制，不应上调或下浮。各市不再发布招标控制价调整系数。</w:t>
      </w:r>
    </w:p>
    <w:p>
      <w:pPr>
        <w:ind w:firstLine="560"/>
      </w:pPr>
      <w:r>
        <w:rPr>
          <w:rFonts w:hint="eastAsia"/>
        </w:rPr>
        <w:t>招标人应在发布招标文件时公布招标控制价，同时应将招标控制价及有关资料报工程所在地工程造价管理机构备案。公布的招标控制价文件应包括2013版计价规范规定的除表-09“综合单价分析表”以外的所有招标控制价使用表格。投标人对招标控制价有异议的，应向招标人提出；招标人不答复或对招标人答复不满意时，投标人可按规定程序向工程所在地造价管理机构投诉。</w:t>
      </w:r>
    </w:p>
    <w:p>
      <w:pPr>
        <w:ind w:firstLine="560"/>
      </w:pPr>
      <w:r>
        <w:rPr>
          <w:rFonts w:hint="eastAsia"/>
        </w:rPr>
        <w:t>5、建设工程发承包，招标文件、施工合同中有关工程计价的条款应根据2013版计价规范的要求制定。实行工程量清单计价的建设项目应采用单价合同。</w:t>
      </w:r>
    </w:p>
    <w:p>
      <w:pPr>
        <w:ind w:firstLine="560"/>
      </w:pPr>
      <w:r>
        <w:rPr>
          <w:rFonts w:hint="eastAsia"/>
        </w:rPr>
        <w:t>招标文件、施工合同必须明确计价中的风险内容及其范围，不得采用无限风险、所有风险或类似语句规定计价中的风险内容及其范围。在风险因素中，国家法律、法规、规章和政策变化，省级建设行政主管部门发布的建设工程人工工资指导价调整，实行政府定价管理的水、电、燃油、燃气价格调整，应由发包人承担。在招标文件备案时，招投标监管机构发现风险条款设置不合理的，应责令修改。</w:t>
      </w:r>
    </w:p>
    <w:p>
      <w:pPr>
        <w:ind w:firstLine="560"/>
      </w:pPr>
      <w:r>
        <w:rPr>
          <w:rFonts w:hint="eastAsia"/>
        </w:rPr>
        <w:t>6、在办理施工合同备案时，建设行政主管部门发现施工合同中合同形式、风险范围、价款调整等条款与招标文件不一致时，应责令改正。</w:t>
      </w:r>
    </w:p>
    <w:p>
      <w:pPr>
        <w:ind w:firstLine="560"/>
      </w:pPr>
      <w:r>
        <w:rPr>
          <w:rFonts w:hint="eastAsia"/>
        </w:rPr>
        <w:t>7、2013版计价规范和计算规范中以黑体字标志的强制性条文必须严格执行。</w:t>
      </w:r>
    </w:p>
    <w:p>
      <w:pPr>
        <w:ind w:firstLine="562"/>
        <w:outlineLvl w:val="1"/>
        <w:rPr>
          <w:b/>
          <w:bCs/>
        </w:rPr>
      </w:pPr>
      <w:bookmarkStart w:id="635" w:name="_Toc24455"/>
      <w:bookmarkStart w:id="636" w:name="_Toc14099"/>
      <w:bookmarkStart w:id="637" w:name="_Toc22900"/>
      <w:bookmarkStart w:id="638" w:name="_Toc12114"/>
      <w:bookmarkStart w:id="639" w:name="_Toc25425"/>
      <w:bookmarkStart w:id="640" w:name="_Toc17389"/>
      <w:bookmarkStart w:id="641" w:name="_Toc27030"/>
      <w:bookmarkStart w:id="642" w:name="_Toc17308"/>
      <w:bookmarkStart w:id="643" w:name="_Toc30647"/>
      <w:bookmarkStart w:id="644" w:name="_Toc22342"/>
      <w:bookmarkStart w:id="645" w:name="_Toc27408"/>
      <w:bookmarkStart w:id="646" w:name="_Toc27323"/>
      <w:bookmarkStart w:id="647" w:name="_Toc2045"/>
      <w:r>
        <w:rPr>
          <w:rFonts w:hint="eastAsia"/>
          <w:b/>
          <w:bCs/>
        </w:rPr>
        <w:t>二、对2013版计价规范和计算规范中有关内容的明确和调整</w:t>
      </w:r>
      <w:bookmarkEnd w:id="635"/>
      <w:bookmarkEnd w:id="636"/>
      <w:bookmarkEnd w:id="637"/>
      <w:bookmarkEnd w:id="638"/>
      <w:bookmarkEnd w:id="639"/>
      <w:bookmarkEnd w:id="640"/>
      <w:bookmarkEnd w:id="641"/>
      <w:bookmarkEnd w:id="642"/>
      <w:bookmarkEnd w:id="643"/>
      <w:bookmarkEnd w:id="644"/>
      <w:bookmarkEnd w:id="645"/>
      <w:bookmarkEnd w:id="646"/>
      <w:bookmarkEnd w:id="647"/>
    </w:p>
    <w:p>
      <w:pPr>
        <w:ind w:firstLine="560"/>
        <w:outlineLvl w:val="2"/>
      </w:pPr>
      <w:bookmarkStart w:id="648" w:name="_Toc31901"/>
      <w:bookmarkStart w:id="649" w:name="_Toc25343"/>
      <w:bookmarkStart w:id="650" w:name="_Toc24676"/>
      <w:bookmarkStart w:id="651" w:name="_Toc30340"/>
      <w:r>
        <w:rPr>
          <w:rFonts w:hint="eastAsia"/>
        </w:rPr>
        <w:t>（一）2013版计价规范</w:t>
      </w:r>
      <w:bookmarkEnd w:id="648"/>
      <w:bookmarkEnd w:id="649"/>
      <w:bookmarkEnd w:id="650"/>
      <w:bookmarkEnd w:id="651"/>
    </w:p>
    <w:p>
      <w:pPr>
        <w:ind w:firstLine="560"/>
      </w:pPr>
      <w:r>
        <w:rPr>
          <w:rFonts w:hint="eastAsia"/>
        </w:rPr>
        <w:t>1、发包人提供的材料和工程设备（以下简称甲供材料）应在招标文件中按照2013版计价规范附录L.1的规定填写《发包人提供材料和设备一览表》，写明甲供材料的名称、规格、单价、交货方式、交货地点等。未写明交货方式和交货地点的，视为甲供材料运送至施工现场指定地点并由发包人承担甲供材料的卸力费用。</w:t>
      </w:r>
    </w:p>
    <w:p>
      <w:pPr>
        <w:ind w:firstLine="560"/>
      </w:pPr>
      <w:r>
        <w:rPr>
          <w:rFonts w:hint="eastAsia"/>
        </w:rPr>
        <w:t>投标人投标时，甲供材料的名称、规格、单价、交货方式、交货地点等必须与招标工程量清单一致。甲供材料价格应计入相应项目的综合单价中，数量由投标人根据自身的施工技术和管理水平自主确定。</w:t>
      </w:r>
    </w:p>
    <w:p>
      <w:pPr>
        <w:ind w:firstLine="560"/>
      </w:pPr>
      <w:r>
        <w:rPr>
          <w:rFonts w:hint="eastAsia"/>
        </w:rPr>
        <w:t>2、发承包双方应在施工合同专用条款中约定甲供材料价款扣除的价格、时间以及领料量超出或少于所报数量时价款的处理办法。没有约定时，按下述原则执行：</w:t>
      </w:r>
    </w:p>
    <w:p>
      <w:pPr>
        <w:ind w:firstLine="560"/>
      </w:pPr>
      <w:r>
        <w:rPr>
          <w:rFonts w:hint="eastAsia"/>
        </w:rPr>
        <w:t>（1）结算时甲供材料应按发包人采购材料的加权平均价格（含采购保管费）计入相应项目的综合单价中。承包人退还甲供材料价款时，应按甲供材料实际采购价格（含采购保管费）除以1.01，退给发包人（1%作为承包人的现场保管费）。</w:t>
      </w:r>
    </w:p>
    <w:p>
      <w:pPr>
        <w:ind w:firstLine="560"/>
      </w:pPr>
      <w:r>
        <w:rPr>
          <w:rFonts w:hint="eastAsia"/>
        </w:rPr>
        <w:t>（2）领料量超出承包人在投标文件中所报数量时，超出部分的甲供材料由承包人按照发包人采购材料的加权平均价格支付给发包人；领料量少于承包人在投标文件中所报数量时，节余部分的甲供材料归承包人。</w:t>
      </w:r>
    </w:p>
    <w:p>
      <w:pPr>
        <w:ind w:firstLine="560"/>
      </w:pPr>
      <w:r>
        <w:rPr>
          <w:rFonts w:hint="eastAsia"/>
        </w:rPr>
        <w:t>3、对2013版计算规范中未列的措施项目，招标人可根据建设工程实际情况进行补充。对招标人所列的措施项目，投标人可根据工程实际与施工组织设计进行增补，但不应更改招标人已列措施项目。结算时，除工程变更引起施工方案改变外，承包人不得以招标工程措施项目清单缺项为由要求新增措施项目。</w:t>
      </w:r>
    </w:p>
    <w:p>
      <w:pPr>
        <w:ind w:firstLine="560"/>
      </w:pPr>
      <w:r>
        <w:rPr>
          <w:rFonts w:hint="eastAsia"/>
        </w:rPr>
        <w:t>4、因工程变更造成施工方案变更，引起措施项目发生变化时，措施项目费的调整，合同有约定的，按合同执行。合同中没有约定的按下列原则调整：单价措施项目变更原则同分部分项工程；总价措施项目中以费率报价的，费率不变；总价项目中以费用报价的，按投标时口径折算成费率调整；原措施费中没有的措施项目，由承包人提出适当的措施费变更要求，经发包人确认后调整。</w:t>
      </w:r>
    </w:p>
    <w:p>
      <w:pPr>
        <w:ind w:firstLine="560"/>
      </w:pPr>
      <w:r>
        <w:rPr>
          <w:rFonts w:hint="eastAsia"/>
        </w:rPr>
        <w:t>5、暂列金额不宜超过分部分项工程费的10%。招标工程量清单中暂估价材料的单价由招标人给定，材料单价中应包括场外运输与采购保管费。“专业工程暂估价”中不包含规费和税金。暂估价的专业工程达到依法必须招标的标准时，须通过招标确定承包人。</w:t>
      </w:r>
    </w:p>
    <w:p>
      <w:pPr>
        <w:ind w:firstLine="560"/>
        <w:outlineLvl w:val="2"/>
      </w:pPr>
      <w:bookmarkStart w:id="652" w:name="_Toc19597"/>
      <w:bookmarkStart w:id="653" w:name="_Toc5621"/>
      <w:bookmarkStart w:id="654" w:name="_Toc16490"/>
      <w:bookmarkStart w:id="655" w:name="_Toc12389"/>
      <w:r>
        <w:rPr>
          <w:rFonts w:hint="eastAsia"/>
        </w:rPr>
        <w:t>（二）2013版计算规范</w:t>
      </w:r>
      <w:bookmarkEnd w:id="652"/>
      <w:bookmarkEnd w:id="653"/>
      <w:bookmarkEnd w:id="654"/>
      <w:bookmarkEnd w:id="655"/>
    </w:p>
    <w:p>
      <w:pPr>
        <w:ind w:firstLine="560"/>
      </w:pPr>
      <w:r>
        <w:rPr>
          <w:rFonts w:hint="eastAsia"/>
        </w:rPr>
        <w:t>1、各专业计算规范的共性规定</w:t>
      </w:r>
    </w:p>
    <w:p>
      <w:pPr>
        <w:ind w:firstLine="560"/>
      </w:pPr>
      <w:r>
        <w:rPr>
          <w:rFonts w:hint="eastAsia"/>
        </w:rPr>
        <w:t>（1）由于实际招标工程形式多样，为了便于操作，同一单位工程的项目编码不得有重复，不强制要求同一招标工程的项目编码不得重复。</w:t>
      </w:r>
    </w:p>
    <w:p>
      <w:pPr>
        <w:ind w:firstLine="560"/>
      </w:pPr>
      <w:r>
        <w:rPr>
          <w:rFonts w:hint="eastAsia"/>
        </w:rPr>
        <w:t>（2）计算规范中工程量计算规则表述不明确时，可以参照江苏省各专业计价定额的工程量计算规则，并且应在工程量清单编制总说明中明确。</w:t>
      </w:r>
    </w:p>
    <w:p>
      <w:pPr>
        <w:ind w:firstLine="560"/>
      </w:pPr>
      <w:r>
        <w:rPr>
          <w:rFonts w:hint="eastAsia"/>
        </w:rPr>
        <w:t>（3）挖沟槽、基坑、一般土方因工作面和放坡增加的工程量并入各土方工程量中。</w:t>
      </w:r>
    </w:p>
    <w:p>
      <w:pPr>
        <w:ind w:firstLine="560"/>
      </w:pPr>
      <w:r>
        <w:rPr>
          <w:rFonts w:hint="eastAsia"/>
        </w:rPr>
        <w:t>（4）采用预拌混凝土（包括屋面、地面细石混凝土）及预拌砂浆时，应在项目特征中描述或在清单编制说明中明确。</w:t>
      </w:r>
    </w:p>
    <w:p>
      <w:pPr>
        <w:ind w:firstLine="560"/>
      </w:pPr>
      <w:r>
        <w:rPr>
          <w:rFonts w:hint="eastAsia"/>
        </w:rPr>
        <w:t>（5）除市政工程外，现浇混凝土模板不与混凝土合并，在措施项目中列项。市政工程现浇混凝土模板包含在相应的混凝土的项目中。</w:t>
      </w:r>
    </w:p>
    <w:p>
      <w:pPr>
        <w:ind w:firstLine="560"/>
      </w:pPr>
      <w:r>
        <w:rPr>
          <w:rFonts w:hint="eastAsia"/>
        </w:rPr>
        <w:t>预制混凝土的模板包含在相应预制混凝土的项目中。</w:t>
      </w:r>
    </w:p>
    <w:p>
      <w:pPr>
        <w:ind w:firstLine="560"/>
      </w:pPr>
      <w:r>
        <w:rPr>
          <w:rFonts w:hint="eastAsia"/>
        </w:rPr>
        <w:t>（6）单价措施项目中，大型机械设备进出场及安拆计量单位调整为项，项目特征可不描述。</w:t>
      </w:r>
    </w:p>
    <w:p>
      <w:pPr>
        <w:ind w:firstLine="560"/>
      </w:pPr>
      <w:r>
        <w:rPr>
          <w:rFonts w:hint="eastAsia"/>
        </w:rPr>
        <w:t>2、各专业计算规范分部分项工程部分</w:t>
      </w:r>
    </w:p>
    <w:p>
      <w:pPr>
        <w:ind w:firstLine="560"/>
      </w:pPr>
      <w:r>
        <w:rPr>
          <w:rFonts w:hint="eastAsia"/>
        </w:rPr>
        <w:t>（1）建筑与装饰工程</w:t>
      </w:r>
    </w:p>
    <w:p>
      <w:pPr>
        <w:ind w:firstLine="560"/>
      </w:pPr>
      <w:r>
        <w:rPr>
          <w:rFonts w:hint="eastAsia"/>
        </w:rPr>
        <w:t>①010401003实心砖墙、010401004多孔砖墙、010401005空心砖墙、010402001砌块墙、010403003石墙项目工程量计算规则中“（2）内墙：……算至楼板顶；有框架梁时算至梁底”调整为“（2）内墙：……算至楼板底；有框架梁时算至梁底”。</w:t>
      </w:r>
    </w:p>
    <w:p>
      <w:pPr>
        <w:ind w:firstLine="560"/>
      </w:pPr>
      <w:r>
        <w:rPr>
          <w:rFonts w:hint="eastAsia"/>
        </w:rPr>
        <w:t>②桩的工程量计算规则中，桩长不包含超灌部分长度，超灌在清单综合单价中考虑。</w:t>
      </w:r>
    </w:p>
    <w:p>
      <w:pPr>
        <w:ind w:firstLine="560"/>
      </w:pPr>
      <w:r>
        <w:rPr>
          <w:rFonts w:hint="eastAsia"/>
        </w:rPr>
        <w:t>③010404001、010501001垫层工程量计算规则中增加：“其中外墙基础垫层长度按外墙中心线长度计算，内墙基础垫层长度按内墙基础垫层净长计算。”</w:t>
      </w:r>
    </w:p>
    <w:p>
      <w:pPr>
        <w:ind w:firstLine="560"/>
      </w:pPr>
      <w:r>
        <w:rPr>
          <w:rFonts w:hint="eastAsia"/>
        </w:rPr>
        <w:t>④钢筋连接除机械连接、电渣压力焊接头单独列清单外，其他连接接头费用不单独列清单，在钢筋清单综合单价中考虑。钢筋搭接、锚固长度按照按满足设计图示（规范）的最小值计入钢筋清单工程量中。</w:t>
      </w:r>
    </w:p>
    <w:p>
      <w:pPr>
        <w:ind w:firstLine="560"/>
      </w:pPr>
      <w:r>
        <w:rPr>
          <w:rFonts w:hint="eastAsia"/>
        </w:rPr>
        <w:t>增补010516004钢筋电渣压力焊接头：</w:t>
      </w:r>
    </w:p>
    <w:tbl>
      <w:tblPr>
        <w:tblStyle w:val="22"/>
        <w:tblW w:w="8816" w:type="dxa"/>
        <w:jc w:val="center"/>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453"/>
        <w:gridCol w:w="1505"/>
        <w:gridCol w:w="1295"/>
        <w:gridCol w:w="727"/>
        <w:gridCol w:w="2038"/>
        <w:gridCol w:w="1798"/>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92" w:hRule="atLeast"/>
          <w:jc w:val="center"/>
        </w:trPr>
        <w:tc>
          <w:tcPr>
            <w:tcW w:w="1453"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项目编码</w:t>
            </w:r>
          </w:p>
        </w:tc>
        <w:tc>
          <w:tcPr>
            <w:tcW w:w="1505"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项目名称</w:t>
            </w:r>
          </w:p>
        </w:tc>
        <w:tc>
          <w:tcPr>
            <w:tcW w:w="1295"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项目特征</w:t>
            </w:r>
          </w:p>
        </w:tc>
        <w:tc>
          <w:tcPr>
            <w:tcW w:w="727"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jc w:val="center"/>
              <w:rPr>
                <w:rFonts w:ascii="仿宋_GB2312" w:hAnsi="Arial" w:cs="Arial"/>
                <w:color w:val="000000"/>
                <w:kern w:val="0"/>
                <w:szCs w:val="28"/>
              </w:rPr>
            </w:pPr>
            <w:r>
              <w:rPr>
                <w:rFonts w:hint="eastAsia" w:ascii="仿宋_GB2312" w:hAnsi="Arial" w:cs="Arial"/>
                <w:color w:val="000000"/>
                <w:kern w:val="0"/>
                <w:szCs w:val="28"/>
              </w:rPr>
              <w:t>计量单位</w:t>
            </w:r>
          </w:p>
        </w:tc>
        <w:tc>
          <w:tcPr>
            <w:tcW w:w="2038"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工程量计算规则</w:t>
            </w:r>
          </w:p>
        </w:tc>
        <w:tc>
          <w:tcPr>
            <w:tcW w:w="1798"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工作内容</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809" w:hRule="atLeast"/>
          <w:jc w:val="center"/>
        </w:trPr>
        <w:tc>
          <w:tcPr>
            <w:tcW w:w="1453"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010516004</w:t>
            </w:r>
          </w:p>
        </w:tc>
        <w:tc>
          <w:tcPr>
            <w:tcW w:w="1505"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钢筋电渣压力焊接头</w:t>
            </w:r>
          </w:p>
        </w:tc>
        <w:tc>
          <w:tcPr>
            <w:tcW w:w="1295"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钢筋种类、规格</w:t>
            </w:r>
          </w:p>
        </w:tc>
        <w:tc>
          <w:tcPr>
            <w:tcW w:w="727"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jc w:val="center"/>
              <w:rPr>
                <w:rFonts w:ascii="仿宋_GB2312" w:hAnsi="Arial" w:cs="Arial"/>
                <w:color w:val="000000"/>
                <w:kern w:val="0"/>
                <w:szCs w:val="28"/>
              </w:rPr>
            </w:pPr>
            <w:r>
              <w:rPr>
                <w:rFonts w:hint="eastAsia" w:ascii="仿宋_GB2312" w:hAnsi="Arial" w:cs="Arial"/>
                <w:color w:val="000000"/>
                <w:kern w:val="0"/>
                <w:szCs w:val="28"/>
              </w:rPr>
              <w:t>个</w:t>
            </w:r>
          </w:p>
        </w:tc>
        <w:tc>
          <w:tcPr>
            <w:tcW w:w="2038"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按数量计算</w:t>
            </w:r>
          </w:p>
        </w:tc>
        <w:tc>
          <w:tcPr>
            <w:tcW w:w="1798"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1.接头清理</w:t>
            </w:r>
          </w:p>
          <w:p>
            <w:pPr>
              <w:widowControl/>
              <w:spacing w:line="240" w:lineRule="auto"/>
              <w:ind w:firstLine="0" w:firstLineChars="0"/>
              <w:rPr>
                <w:rFonts w:ascii="仿宋_GB2312" w:hAnsi="Arial" w:cs="Arial"/>
                <w:color w:val="000000"/>
                <w:kern w:val="0"/>
                <w:szCs w:val="28"/>
              </w:rPr>
            </w:pPr>
            <w:r>
              <w:rPr>
                <w:rFonts w:hint="eastAsia" w:ascii="仿宋_GB2312" w:hAnsi="Arial" w:cs="Arial"/>
                <w:color w:val="000000"/>
                <w:kern w:val="0"/>
                <w:szCs w:val="28"/>
              </w:rPr>
              <w:t>2.焊接固定。</w:t>
            </w:r>
          </w:p>
        </w:tc>
      </w:tr>
    </w:tbl>
    <w:p>
      <w:pPr>
        <w:ind w:firstLine="560"/>
      </w:pPr>
      <w:r>
        <w:rPr>
          <w:rFonts w:hint="eastAsia"/>
        </w:rPr>
        <w:t>（2）市政工程</w:t>
      </w:r>
    </w:p>
    <w:p>
      <w:pPr>
        <w:ind w:firstLine="560"/>
      </w:pPr>
      <w:r>
        <w:rPr>
          <w:rFonts w:hint="eastAsia"/>
        </w:rPr>
        <w:t>挖沟槽、基坑、一般石方因超挖量、工作面和放坡增加的工程量并入各石方工程量中。</w:t>
      </w:r>
    </w:p>
    <w:p>
      <w:pPr>
        <w:ind w:firstLine="560"/>
      </w:pPr>
      <w:r>
        <w:rPr>
          <w:rFonts w:hint="eastAsia"/>
        </w:rPr>
        <w:t>3、各专业计算规范措施项目部分具体调整见附件一。</w:t>
      </w:r>
    </w:p>
    <w:p>
      <w:pPr>
        <w:ind w:firstLine="560"/>
        <w:outlineLvl w:val="2"/>
      </w:pPr>
      <w:bookmarkStart w:id="656" w:name="_Toc8277"/>
      <w:bookmarkStart w:id="657" w:name="_Toc22476"/>
      <w:bookmarkStart w:id="658" w:name="_Toc11576"/>
      <w:bookmarkStart w:id="659" w:name="_Toc1588"/>
      <w:r>
        <w:rPr>
          <w:rFonts w:hint="eastAsia"/>
        </w:rPr>
        <w:t>（三）工程量清单计价表格调整</w:t>
      </w:r>
      <w:bookmarkEnd w:id="656"/>
      <w:bookmarkEnd w:id="657"/>
      <w:bookmarkEnd w:id="658"/>
      <w:bookmarkEnd w:id="659"/>
    </w:p>
    <w:p>
      <w:pPr>
        <w:ind w:firstLine="560"/>
      </w:pPr>
      <w:r>
        <w:rPr>
          <w:rFonts w:hint="eastAsia"/>
        </w:rPr>
        <w:t>1、2013版计价规范中表-11“总价措施项目清单与计价表”的总价措施项目根据2013版计算规范和我省规定列项。表中注1取消，“注2”改为“注”。</w:t>
      </w:r>
    </w:p>
    <w:p>
      <w:pPr>
        <w:ind w:firstLine="560"/>
      </w:pPr>
      <w:r>
        <w:rPr>
          <w:rFonts w:hint="eastAsia"/>
        </w:rPr>
        <w:t>2、其他表格具体调整见附件二。</w:t>
      </w:r>
    </w:p>
    <w:p>
      <w:pPr>
        <w:ind w:firstLine="562"/>
        <w:outlineLvl w:val="1"/>
        <w:rPr>
          <w:b/>
          <w:bCs/>
        </w:rPr>
      </w:pPr>
      <w:bookmarkStart w:id="660" w:name="_Toc3466"/>
      <w:bookmarkStart w:id="661" w:name="_Toc23398"/>
      <w:bookmarkStart w:id="662" w:name="_Toc17533"/>
      <w:bookmarkStart w:id="663" w:name="_Toc12198"/>
      <w:bookmarkStart w:id="664" w:name="_Toc23105"/>
      <w:bookmarkStart w:id="665" w:name="_Toc30023"/>
      <w:bookmarkStart w:id="666" w:name="_Toc4098"/>
      <w:bookmarkStart w:id="667" w:name="_Toc23706"/>
      <w:bookmarkStart w:id="668" w:name="_Toc14620"/>
      <w:bookmarkStart w:id="669" w:name="_Toc7081"/>
      <w:bookmarkStart w:id="670" w:name="_Toc18350"/>
      <w:bookmarkStart w:id="671" w:name="_Toc2279"/>
      <w:bookmarkStart w:id="672" w:name="_Toc6649"/>
      <w:r>
        <w:rPr>
          <w:rFonts w:hint="eastAsia"/>
          <w:b/>
          <w:bCs/>
        </w:rPr>
        <w:t>三、执行时间与要求</w:t>
      </w:r>
      <w:bookmarkEnd w:id="660"/>
      <w:bookmarkEnd w:id="661"/>
      <w:bookmarkEnd w:id="662"/>
      <w:bookmarkEnd w:id="663"/>
      <w:bookmarkEnd w:id="664"/>
      <w:bookmarkEnd w:id="665"/>
      <w:bookmarkEnd w:id="666"/>
      <w:bookmarkEnd w:id="667"/>
      <w:bookmarkEnd w:id="668"/>
      <w:bookmarkEnd w:id="669"/>
      <w:bookmarkEnd w:id="670"/>
      <w:bookmarkEnd w:id="671"/>
      <w:bookmarkEnd w:id="672"/>
    </w:p>
    <w:p>
      <w:pPr>
        <w:ind w:firstLine="560"/>
      </w:pPr>
      <w:r>
        <w:rPr>
          <w:rFonts w:hint="eastAsia"/>
        </w:rPr>
        <w:t>1、2014年10月1日起发布招标文件的招投标工程以及签订施工合同的非招投标工程，应执行2013版计价规范和计算规范。《江苏省建设工程费用定额》（2014版）、《江苏省建筑与装饰工程计价定额》（2014版）、《江苏省安装工程计价定额》（2014版）、《江苏省市政工程计价定额》（2014版）、《建筑工程建筑面积计算规范》（GB/T 50353 -2013）与2013版计价规范和计算规范同时配套执行。</w:t>
      </w:r>
    </w:p>
    <w:p>
      <w:pPr>
        <w:ind w:firstLine="560"/>
      </w:pPr>
      <w:r>
        <w:rPr>
          <w:rFonts w:hint="eastAsia"/>
        </w:rPr>
        <w:t>2、凡依据江苏省2014版计价定额开发并合法销售的计价软件，其定额和工料机数据库、计价程序、计价功能、成果文件均应符合我省的规定和要求。江苏省建设工程造价管理总站为申请企业提供技术测评服务。</w:t>
      </w:r>
    </w:p>
    <w:p>
      <w:pPr>
        <w:ind w:firstLine="560"/>
      </w:pPr>
      <w:r>
        <w:rPr>
          <w:rFonts w:hint="eastAsia"/>
        </w:rPr>
        <w:t>3、各级造价管理机构要做好2013版计价规范和计算规范及其配套实施文件的宣贯工作，招投标监管机构应及时调整相应的电子评标系统。</w:t>
      </w:r>
    </w:p>
    <w:p>
      <w:pPr>
        <w:ind w:firstLine="560"/>
      </w:pPr>
      <w:r>
        <w:rPr>
          <w:rFonts w:hint="eastAsia"/>
        </w:rPr>
        <w:t>4、既往有关规定与本贯彻意见不符的，按本贯彻意见执行。</w:t>
      </w:r>
    </w:p>
    <w:p>
      <w:pPr>
        <w:ind w:firstLine="560"/>
      </w:pPr>
      <w:r>
        <w:rPr>
          <w:rFonts w:hint="eastAsia"/>
        </w:rPr>
        <w:t>5、执行中如遇问题请及时反映给江苏省建设工程造价管理总站。</w:t>
      </w:r>
    </w:p>
    <w:p>
      <w:pPr>
        <w:pStyle w:val="2"/>
        <w:numPr>
          <w:ilvl w:val="0"/>
          <w:numId w:val="0"/>
        </w:numPr>
        <w:ind w:left="420"/>
      </w:pPr>
    </w:p>
    <w:p>
      <w:pPr>
        <w:ind w:firstLine="560"/>
      </w:pPr>
      <w:r>
        <w:rPr>
          <w:rFonts w:hint="eastAsia"/>
        </w:rPr>
        <w:t>附件：1、措施项目清单调整和增加</w:t>
      </w:r>
    </w:p>
    <w:p>
      <w:pPr>
        <w:numPr>
          <w:ilvl w:val="0"/>
          <w:numId w:val="3"/>
        </w:numPr>
        <w:ind w:firstLine="560"/>
      </w:pPr>
      <w:r>
        <w:rPr>
          <w:rFonts w:hint="eastAsia"/>
        </w:rPr>
        <w:t>工程量清单计价表格调整部分（共5张表）</w:t>
      </w:r>
    </w:p>
    <w:p>
      <w:pPr>
        <w:spacing w:line="500" w:lineRule="exact"/>
        <w:ind w:firstLine="0" w:firstLineChars="0"/>
      </w:pPr>
    </w:p>
    <w:p>
      <w:pPr>
        <w:spacing w:line="500" w:lineRule="exact"/>
        <w:ind w:firstLine="0" w:firstLineChars="0"/>
      </w:pPr>
    </w:p>
    <w:p>
      <w:pPr>
        <w:ind w:firstLine="4480" w:firstLineChars="1600"/>
      </w:pPr>
      <w:r>
        <w:rPr>
          <w:rFonts w:hint="eastAsia"/>
        </w:rPr>
        <w:t>江苏省住房和城乡建设厅</w:t>
      </w:r>
    </w:p>
    <w:p>
      <w:pPr>
        <w:ind w:firstLine="4928" w:firstLineChars="1760"/>
      </w:pPr>
      <w:r>
        <w:rPr>
          <w:rFonts w:hint="eastAsia"/>
        </w:rPr>
        <w:t xml:space="preserve">2014年9月3日 </w:t>
      </w:r>
    </w:p>
    <w:p>
      <w:pPr>
        <w:widowControl/>
        <w:ind w:firstLine="560"/>
        <w:jc w:val="left"/>
        <w:rPr>
          <w:rFonts w:ascii="仿宋_GB2312"/>
          <w:szCs w:val="28"/>
        </w:rPr>
      </w:pPr>
      <w:r>
        <w:rPr>
          <w:rFonts w:ascii="仿宋_GB2312"/>
          <w:szCs w:val="28"/>
        </w:rPr>
        <w:br w:type="page"/>
      </w:r>
    </w:p>
    <w:p>
      <w:pPr>
        <w:widowControl/>
        <w:snapToGrid w:val="0"/>
        <w:spacing w:line="570" w:lineRule="exact"/>
        <w:ind w:firstLine="0" w:firstLineChars="0"/>
        <w:jc w:val="left"/>
        <w:outlineLvl w:val="0"/>
        <w:rPr>
          <w:rFonts w:ascii="仿宋_GB2312" w:hAnsi="宋体" w:cs="宋体"/>
          <w:color w:val="000000"/>
          <w:kern w:val="0"/>
          <w:szCs w:val="28"/>
        </w:rPr>
      </w:pPr>
      <w:bookmarkStart w:id="673" w:name="_Toc29433"/>
      <w:bookmarkStart w:id="674" w:name="_Toc946"/>
      <w:bookmarkStart w:id="675" w:name="_Toc5803"/>
      <w:bookmarkStart w:id="676" w:name="_Toc206"/>
      <w:bookmarkStart w:id="677" w:name="_Toc26310"/>
      <w:bookmarkStart w:id="678" w:name="_Toc6782"/>
      <w:bookmarkStart w:id="679" w:name="_Toc50"/>
      <w:bookmarkStart w:id="680" w:name="_Toc13091"/>
      <w:bookmarkStart w:id="681" w:name="_Toc14399"/>
      <w:bookmarkStart w:id="682" w:name="_Toc28334"/>
      <w:bookmarkStart w:id="683" w:name="_Toc24745"/>
      <w:bookmarkStart w:id="684" w:name="_Toc14262"/>
      <w:bookmarkStart w:id="685" w:name="_Toc32576"/>
      <w:bookmarkStart w:id="686" w:name="_Toc28225"/>
      <w:bookmarkStart w:id="687" w:name="_Toc7503"/>
      <w:r>
        <w:rPr>
          <w:rFonts w:hint="eastAsia" w:ascii="仿宋_GB2312" w:hAnsi="宋体" w:cs="宋体"/>
          <w:color w:val="000000"/>
          <w:kern w:val="0"/>
          <w:szCs w:val="28"/>
        </w:rPr>
        <w:t>附件一：</w:t>
      </w:r>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pPr>
        <w:widowControl/>
        <w:snapToGrid w:val="0"/>
        <w:spacing w:line="570" w:lineRule="exact"/>
        <w:ind w:firstLine="560"/>
        <w:jc w:val="left"/>
        <w:rPr>
          <w:rFonts w:ascii="方正小标宋_GBK" w:hAnsi="宋体" w:eastAsia="方正小标宋_GBK" w:cs="宋体"/>
          <w:color w:val="000000"/>
          <w:kern w:val="0"/>
          <w:sz w:val="36"/>
          <w:szCs w:val="36"/>
        </w:rPr>
      </w:pPr>
      <w:r>
        <w:rPr>
          <w:rFonts w:hint="eastAsia" w:ascii="仿宋_GB2312" w:hAnsi="宋体" w:cs="宋体"/>
          <w:color w:val="000000"/>
          <w:kern w:val="0"/>
          <w:szCs w:val="28"/>
        </w:rPr>
        <w:t xml:space="preserve">                   </w:t>
      </w:r>
      <w:r>
        <w:rPr>
          <w:rFonts w:hint="eastAsia" w:ascii="方正小标宋_GBK" w:hAnsi="宋体" w:eastAsia="方正小标宋_GBK" w:cs="宋体"/>
          <w:color w:val="000000"/>
          <w:kern w:val="0"/>
          <w:sz w:val="36"/>
          <w:szCs w:val="36"/>
        </w:rPr>
        <w:t>措施项目清单调整和增加</w:t>
      </w:r>
    </w:p>
    <w:p>
      <w:pPr>
        <w:widowControl/>
        <w:snapToGrid w:val="0"/>
        <w:spacing w:line="240" w:lineRule="exact"/>
        <w:ind w:firstLine="562"/>
        <w:rPr>
          <w:rFonts w:ascii="仿宋_GB2312" w:hAnsi="宋体" w:cs="宋体"/>
          <w:b/>
          <w:color w:val="000000"/>
          <w:kern w:val="0"/>
          <w:szCs w:val="28"/>
        </w:rPr>
      </w:pPr>
    </w:p>
    <w:p>
      <w:pPr>
        <w:widowControl/>
        <w:snapToGrid w:val="0"/>
        <w:spacing w:line="570" w:lineRule="exact"/>
        <w:ind w:firstLine="562"/>
        <w:rPr>
          <w:rFonts w:ascii="仿宋_GB2312" w:hAnsi="宋体" w:cs="宋体"/>
          <w:b/>
          <w:color w:val="000000"/>
          <w:kern w:val="0"/>
          <w:szCs w:val="28"/>
        </w:rPr>
      </w:pPr>
      <w:r>
        <w:rPr>
          <w:rFonts w:hint="eastAsia" w:ascii="仿宋_GB2312" w:hAnsi="宋体" w:cs="宋体"/>
          <w:b/>
          <w:color w:val="000000"/>
          <w:kern w:val="0"/>
          <w:szCs w:val="28"/>
        </w:rPr>
        <w:t>一、单价措施项目：</w:t>
      </w:r>
    </w:p>
    <w:p>
      <w:pPr>
        <w:ind w:firstLine="560"/>
      </w:pPr>
      <w:r>
        <w:rPr>
          <w:rFonts w:hint="eastAsia"/>
        </w:rPr>
        <w:t>1、房屋建筑与装饰工程中增补电梯井脚手架。</w:t>
      </w:r>
    </w:p>
    <w:p>
      <w:pPr>
        <w:widowControl/>
        <w:snapToGrid w:val="0"/>
        <w:spacing w:line="240" w:lineRule="exact"/>
        <w:ind w:firstLine="560"/>
        <w:rPr>
          <w:rFonts w:ascii="仿宋_GB2312" w:hAnsi="宋体" w:cs="宋体"/>
          <w:color w:val="000000"/>
          <w:kern w:val="0"/>
          <w:szCs w:val="28"/>
        </w:rPr>
      </w:pPr>
    </w:p>
    <w:tbl>
      <w:tblPr>
        <w:tblStyle w:val="22"/>
        <w:tblW w:w="9148" w:type="dxa"/>
        <w:jc w:val="center"/>
        <w:tblLayout w:type="fixed"/>
        <w:tblCellMar>
          <w:top w:w="0" w:type="dxa"/>
          <w:left w:w="108" w:type="dxa"/>
          <w:bottom w:w="0" w:type="dxa"/>
          <w:right w:w="108" w:type="dxa"/>
        </w:tblCellMar>
      </w:tblPr>
      <w:tblGrid>
        <w:gridCol w:w="1206"/>
        <w:gridCol w:w="925"/>
        <w:gridCol w:w="1603"/>
        <w:gridCol w:w="939"/>
        <w:gridCol w:w="1802"/>
        <w:gridCol w:w="2673"/>
      </w:tblGrid>
      <w:tr>
        <w:tblPrEx>
          <w:tblCellMar>
            <w:top w:w="0" w:type="dxa"/>
            <w:left w:w="108" w:type="dxa"/>
            <w:bottom w:w="0" w:type="dxa"/>
            <w:right w:w="108" w:type="dxa"/>
          </w:tblCellMar>
        </w:tblPrEx>
        <w:trPr>
          <w:trHeight w:val="580" w:hRule="atLeast"/>
          <w:jc w:val="center"/>
        </w:trPr>
        <w:tc>
          <w:tcPr>
            <w:tcW w:w="1206" w:type="dxa"/>
            <w:tcBorders>
              <w:top w:val="single" w:color="000000" w:sz="6" w:space="0"/>
              <w:left w:val="single" w:color="000000" w:sz="6" w:space="0"/>
              <w:bottom w:val="single" w:color="000000" w:sz="2"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项目</w:t>
            </w:r>
          </w:p>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编码</w:t>
            </w:r>
          </w:p>
        </w:tc>
        <w:tc>
          <w:tcPr>
            <w:tcW w:w="925" w:type="dxa"/>
            <w:tcBorders>
              <w:top w:val="single" w:color="000000" w:sz="6" w:space="0"/>
              <w:left w:val="nil"/>
              <w:bottom w:val="single" w:color="000000" w:sz="2"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项目</w:t>
            </w:r>
          </w:p>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名称</w:t>
            </w:r>
          </w:p>
        </w:tc>
        <w:tc>
          <w:tcPr>
            <w:tcW w:w="1603" w:type="dxa"/>
            <w:tcBorders>
              <w:top w:val="single" w:color="000000" w:sz="6" w:space="0"/>
              <w:left w:val="nil"/>
              <w:bottom w:val="single" w:color="000000" w:sz="2"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项目特征</w:t>
            </w:r>
          </w:p>
        </w:tc>
        <w:tc>
          <w:tcPr>
            <w:tcW w:w="939" w:type="dxa"/>
            <w:tcBorders>
              <w:top w:val="single" w:color="000000" w:sz="6" w:space="0"/>
              <w:left w:val="nil"/>
              <w:bottom w:val="single" w:color="000000" w:sz="2"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计量</w:t>
            </w:r>
          </w:p>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单位</w:t>
            </w:r>
          </w:p>
        </w:tc>
        <w:tc>
          <w:tcPr>
            <w:tcW w:w="1802" w:type="dxa"/>
            <w:tcBorders>
              <w:top w:val="single" w:color="000000" w:sz="6" w:space="0"/>
              <w:left w:val="nil"/>
              <w:bottom w:val="single" w:color="000000" w:sz="2"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工程量计算</w:t>
            </w:r>
          </w:p>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规则</w:t>
            </w:r>
          </w:p>
        </w:tc>
        <w:tc>
          <w:tcPr>
            <w:tcW w:w="2673" w:type="dxa"/>
            <w:tcBorders>
              <w:top w:val="single" w:color="000000" w:sz="6" w:space="0"/>
              <w:left w:val="nil"/>
              <w:bottom w:val="single" w:color="000000" w:sz="2" w:space="0"/>
              <w:right w:val="single" w:color="000000" w:sz="6"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工作内容</w:t>
            </w:r>
          </w:p>
        </w:tc>
      </w:tr>
      <w:tr>
        <w:tblPrEx>
          <w:tblCellMar>
            <w:top w:w="0" w:type="dxa"/>
            <w:left w:w="108" w:type="dxa"/>
            <w:bottom w:w="0" w:type="dxa"/>
            <w:right w:w="108" w:type="dxa"/>
          </w:tblCellMar>
        </w:tblPrEx>
        <w:trPr>
          <w:trHeight w:val="440" w:hRule="atLeast"/>
          <w:jc w:val="center"/>
        </w:trPr>
        <w:tc>
          <w:tcPr>
            <w:tcW w:w="1206" w:type="dxa"/>
            <w:tcBorders>
              <w:top w:val="single" w:color="000000" w:sz="2" w:space="0"/>
              <w:left w:val="single" w:color="000000" w:sz="6" w:space="0"/>
              <w:bottom w:val="single" w:color="000000" w:sz="6"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011701009</w:t>
            </w:r>
          </w:p>
        </w:tc>
        <w:tc>
          <w:tcPr>
            <w:tcW w:w="925" w:type="dxa"/>
            <w:tcBorders>
              <w:top w:val="single" w:color="000000" w:sz="2" w:space="0"/>
              <w:left w:val="nil"/>
              <w:bottom w:val="single" w:color="000000" w:sz="6"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电梯井脚手架</w:t>
            </w:r>
          </w:p>
        </w:tc>
        <w:tc>
          <w:tcPr>
            <w:tcW w:w="1603" w:type="dxa"/>
            <w:tcBorders>
              <w:top w:val="single" w:color="000000" w:sz="2" w:space="0"/>
              <w:left w:val="nil"/>
              <w:bottom w:val="single" w:color="000000" w:sz="6"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电梯井高度</w:t>
            </w:r>
          </w:p>
        </w:tc>
        <w:tc>
          <w:tcPr>
            <w:tcW w:w="939" w:type="dxa"/>
            <w:tcBorders>
              <w:top w:val="single" w:color="000000" w:sz="2" w:space="0"/>
              <w:left w:val="nil"/>
              <w:bottom w:val="single" w:color="000000" w:sz="6"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座</w:t>
            </w:r>
          </w:p>
        </w:tc>
        <w:tc>
          <w:tcPr>
            <w:tcW w:w="1802" w:type="dxa"/>
            <w:tcBorders>
              <w:top w:val="single" w:color="000000" w:sz="2" w:space="0"/>
              <w:left w:val="nil"/>
              <w:bottom w:val="single" w:color="000000" w:sz="6" w:space="0"/>
              <w:right w:val="single" w:color="000000" w:sz="2" w:space="0"/>
            </w:tcBorders>
            <w:tcMar>
              <w:top w:w="108" w:type="dxa"/>
              <w:bottom w:w="108" w:type="dxa"/>
            </w:tcMar>
            <w:vAlign w:val="center"/>
          </w:tcPr>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按设计图示</w:t>
            </w:r>
          </w:p>
          <w:p>
            <w:pPr>
              <w:widowControl/>
              <w:spacing w:line="320" w:lineRule="exact"/>
              <w:ind w:firstLine="0" w:firstLineChars="0"/>
              <w:jc w:val="center"/>
              <w:rPr>
                <w:rFonts w:ascii="仿宋_GB2312" w:hAnsi="宋体"/>
                <w:kern w:val="0"/>
                <w:szCs w:val="28"/>
              </w:rPr>
            </w:pPr>
            <w:r>
              <w:rPr>
                <w:rFonts w:hint="eastAsia" w:ascii="仿宋_GB2312" w:hAnsi="宋体"/>
                <w:kern w:val="0"/>
                <w:szCs w:val="28"/>
              </w:rPr>
              <w:t>数量计算</w:t>
            </w:r>
          </w:p>
        </w:tc>
        <w:tc>
          <w:tcPr>
            <w:tcW w:w="2673" w:type="dxa"/>
            <w:tcBorders>
              <w:top w:val="single" w:color="000000" w:sz="2" w:space="0"/>
              <w:left w:val="nil"/>
              <w:bottom w:val="single" w:color="000000" w:sz="6" w:space="0"/>
              <w:right w:val="single" w:color="000000" w:sz="6" w:space="0"/>
            </w:tcBorders>
            <w:tcMar>
              <w:top w:w="108" w:type="dxa"/>
              <w:bottom w:w="108" w:type="dxa"/>
            </w:tcMar>
            <w:vAlign w:val="center"/>
          </w:tcPr>
          <w:p>
            <w:pPr>
              <w:widowControl/>
              <w:spacing w:line="320" w:lineRule="exact"/>
              <w:ind w:firstLine="0" w:firstLineChars="0"/>
              <w:rPr>
                <w:rFonts w:ascii="仿宋_GB2312" w:hAnsi="宋体"/>
                <w:kern w:val="0"/>
                <w:szCs w:val="28"/>
              </w:rPr>
            </w:pPr>
            <w:r>
              <w:rPr>
                <w:rFonts w:hint="eastAsia" w:ascii="仿宋_GB2312" w:hAnsi="宋体"/>
                <w:kern w:val="0"/>
                <w:szCs w:val="28"/>
              </w:rPr>
              <w:t>1.搭设拆除脚手架、安全网</w:t>
            </w:r>
          </w:p>
          <w:p>
            <w:pPr>
              <w:widowControl/>
              <w:spacing w:line="320" w:lineRule="exact"/>
              <w:ind w:firstLine="0" w:firstLineChars="0"/>
              <w:rPr>
                <w:rFonts w:ascii="仿宋_GB2312" w:hAnsi="宋体"/>
                <w:kern w:val="0"/>
                <w:szCs w:val="28"/>
              </w:rPr>
            </w:pPr>
            <w:r>
              <w:rPr>
                <w:rFonts w:hint="eastAsia" w:ascii="仿宋_GB2312" w:hAnsi="宋体"/>
                <w:kern w:val="0"/>
                <w:szCs w:val="28"/>
              </w:rPr>
              <w:t>2.铺、翻脚手板</w:t>
            </w:r>
          </w:p>
        </w:tc>
      </w:tr>
    </w:tbl>
    <w:p>
      <w:pPr>
        <w:ind w:firstLine="560"/>
      </w:pPr>
      <w:r>
        <w:rPr>
          <w:rFonts w:hint="eastAsia"/>
        </w:rPr>
        <w:t>2、011702003构造柱模板工程量计算规则调整为：按图示外露部分计算面积（锯齿形按锯齿形最宽面计算模板宽度）。</w:t>
      </w:r>
    </w:p>
    <w:p>
      <w:pPr>
        <w:ind w:firstLine="560"/>
      </w:pPr>
      <w:r>
        <w:rPr>
          <w:rFonts w:hint="eastAsia"/>
        </w:rPr>
        <w:t>3、011703001工程量计算规则中的“施工工期日历天”为定额工期。</w:t>
      </w:r>
    </w:p>
    <w:p>
      <w:pPr>
        <w:ind w:firstLine="560"/>
      </w:pPr>
      <w:r>
        <w:rPr>
          <w:rFonts w:hint="eastAsia"/>
        </w:rPr>
        <w:t>4、011704001超高施工增加注1调整为：超高施工增加适用于建筑物檐口高度超过20m或层数超过6层时。工程量按超过20m部分与超过6层部分建筑面积中的较大值计算。地下室不计算层数。</w:t>
      </w:r>
    </w:p>
    <w:p>
      <w:pPr>
        <w:widowControl/>
        <w:snapToGrid w:val="0"/>
        <w:spacing w:line="570" w:lineRule="exact"/>
        <w:ind w:firstLine="562"/>
        <w:rPr>
          <w:rFonts w:ascii="仿宋_GB2312" w:hAnsi="宋体" w:cs="宋体"/>
          <w:b/>
          <w:color w:val="000000"/>
          <w:kern w:val="0"/>
          <w:szCs w:val="28"/>
        </w:rPr>
      </w:pPr>
      <w:r>
        <w:rPr>
          <w:rFonts w:hint="eastAsia" w:ascii="仿宋_GB2312" w:hAnsi="宋体" w:cs="宋体"/>
          <w:b/>
          <w:color w:val="000000"/>
          <w:kern w:val="0"/>
          <w:szCs w:val="28"/>
        </w:rPr>
        <w:t>二、总价措施项目调整和增加如下：</w:t>
      </w:r>
    </w:p>
    <w:tbl>
      <w:tblPr>
        <w:tblStyle w:val="22"/>
        <w:tblW w:w="90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1313"/>
        <w:gridCol w:w="658"/>
        <w:gridCol w:w="6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62"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工程</w:t>
            </w:r>
          </w:p>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类型</w:t>
            </w:r>
          </w:p>
        </w:tc>
        <w:tc>
          <w:tcPr>
            <w:tcW w:w="1161"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项目编码</w:t>
            </w:r>
          </w:p>
        </w:tc>
        <w:tc>
          <w:tcPr>
            <w:tcW w:w="650"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项目</w:t>
            </w:r>
          </w:p>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名称</w:t>
            </w:r>
          </w:p>
        </w:tc>
        <w:tc>
          <w:tcPr>
            <w:tcW w:w="6211"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工作内容及包含范围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 w:hRule="atLeast"/>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房屋建筑与装饰工程</w:t>
            </w:r>
          </w:p>
        </w:tc>
        <w:tc>
          <w:tcPr>
            <w:tcW w:w="1161"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011707001</w:t>
            </w:r>
          </w:p>
        </w:tc>
        <w:tc>
          <w:tcPr>
            <w:tcW w:w="650" w:type="dxa"/>
            <w:vMerge w:val="restart"/>
            <w:vAlign w:val="center"/>
          </w:tcPr>
          <w:p>
            <w:pPr>
              <w:spacing w:line="42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安全文明施工</w:t>
            </w:r>
          </w:p>
        </w:tc>
        <w:tc>
          <w:tcPr>
            <w:tcW w:w="6211" w:type="dxa"/>
            <w:vMerge w:val="restart"/>
            <w:vAlign w:val="center"/>
          </w:tcPr>
          <w:p>
            <w:pPr>
              <w:spacing w:line="280" w:lineRule="exact"/>
              <w:ind w:firstLine="0" w:firstLineChars="0"/>
              <w:rPr>
                <w:rFonts w:ascii="仿宋_GB2312" w:hAnsi="宋体"/>
                <w:sz w:val="24"/>
                <w:szCs w:val="24"/>
              </w:rPr>
            </w:pPr>
            <w:r>
              <w:rPr>
                <w:rFonts w:hint="eastAsia" w:ascii="仿宋_GB2312" w:hAnsi="宋体"/>
                <w:sz w:val="24"/>
                <w:szCs w:val="24"/>
              </w:rPr>
              <w:t>1.环境保护：现场施工机械设备降低噪音、防扰民措施费用；水泥和其他易飞扬细颗粒建筑材料密闭存放或采取覆盖措施等费用；工程防扬尘洒水费用；土石方、建渣外运车辆冲洗、防洒漏等费用；现场污染源的控制、生活垃圾清理外运、场地排水排污措施的费用；其他环境保护措施费用。</w:t>
            </w:r>
          </w:p>
          <w:p>
            <w:pPr>
              <w:spacing w:line="280" w:lineRule="exact"/>
              <w:ind w:firstLine="0" w:firstLineChars="0"/>
              <w:rPr>
                <w:rFonts w:ascii="仿宋_GB2312" w:hAnsi="宋体"/>
                <w:sz w:val="24"/>
                <w:szCs w:val="24"/>
              </w:rPr>
            </w:pPr>
            <w:r>
              <w:rPr>
                <w:rFonts w:hint="eastAsia" w:ascii="仿宋_GB2312" w:hAnsi="宋体"/>
                <w:sz w:val="24"/>
                <w:szCs w:val="24"/>
              </w:rPr>
              <w:t>2.文明施工：“五牌一图”的费用；现场围挡的墙面美化（包括内外粉刷、刷白、标语等）、压顶装饰费用；现场厕所便槽刷白、贴面砖,水泥砂浆地面或地砖费用，建筑物内临时便溺设施费用；其他施工现场临时设施的装饰装修、美化措施费用；现场生活卫生设施费用；符合卫生要求的饮水设备、淋浴、消毒等设施费用；生活用洁净燃料费用；防煤气中毒、防蚊虫叮咬等措施费用；施工现场操作场地的硬化费用；现场绿化费用、治安综合治理费用、现场电子监控设备费用；现场配备医药保健器材、物品费用和急救人员培训费用；用于现场工人的防暑降温费、电风扇、空调等设备及用电费用；其他文明施工措施费用。</w:t>
            </w:r>
          </w:p>
          <w:p>
            <w:pPr>
              <w:spacing w:line="280" w:lineRule="exact"/>
              <w:ind w:firstLine="0" w:firstLineChars="0"/>
              <w:rPr>
                <w:rFonts w:ascii="仿宋_GB2312" w:hAnsi="宋体" w:cs="宋体"/>
                <w:color w:val="000000"/>
                <w:kern w:val="0"/>
                <w:sz w:val="24"/>
                <w:szCs w:val="24"/>
              </w:rPr>
            </w:pPr>
            <w:r>
              <w:rPr>
                <w:rFonts w:hint="eastAsia" w:ascii="仿宋_GB2312" w:hAnsi="宋体"/>
                <w:sz w:val="24"/>
                <w:szCs w:val="24"/>
              </w:rPr>
              <w:t>3.安全施工：安全资料、特殊作业专项方案的编制，安全施工标志的购置及安全宣传的费用；“三宝”（安全帽、安全带、安全网），“四口”（楼梯口、电梯井口、通道口、预留洞口），“五临边”（阳台围边、楼板围边、屋面围边、槽坑围边、卸料平台两侧）；水平防护架、垂直防护架、外架封闭等防护的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仿古建筑工程</w:t>
            </w:r>
          </w:p>
        </w:tc>
        <w:tc>
          <w:tcPr>
            <w:tcW w:w="1161"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021007001</w:t>
            </w:r>
          </w:p>
        </w:tc>
        <w:tc>
          <w:tcPr>
            <w:tcW w:w="650" w:type="dxa"/>
            <w:vMerge w:val="continue"/>
          </w:tcPr>
          <w:p>
            <w:pPr>
              <w:spacing w:line="420" w:lineRule="atLeast"/>
              <w:ind w:firstLine="0" w:firstLineChars="0"/>
              <w:jc w:val="center"/>
              <w:rPr>
                <w:rFonts w:ascii="仿宋_GB2312" w:hAnsi="宋体" w:cs="宋体"/>
                <w:color w:val="000000"/>
                <w:kern w:val="0"/>
                <w:sz w:val="24"/>
                <w:szCs w:val="24"/>
              </w:rPr>
            </w:pPr>
          </w:p>
        </w:tc>
        <w:tc>
          <w:tcPr>
            <w:tcW w:w="6211" w:type="dxa"/>
            <w:vMerge w:val="continue"/>
          </w:tcPr>
          <w:p>
            <w:pPr>
              <w:spacing w:line="280" w:lineRule="exac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通用安装工程</w:t>
            </w:r>
          </w:p>
        </w:tc>
        <w:tc>
          <w:tcPr>
            <w:tcW w:w="1161"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031302001</w:t>
            </w:r>
          </w:p>
        </w:tc>
        <w:tc>
          <w:tcPr>
            <w:tcW w:w="650" w:type="dxa"/>
            <w:vMerge w:val="continue"/>
          </w:tcPr>
          <w:p>
            <w:pPr>
              <w:spacing w:line="420" w:lineRule="atLeast"/>
              <w:ind w:firstLine="0" w:firstLineChars="0"/>
              <w:jc w:val="center"/>
              <w:rPr>
                <w:rFonts w:ascii="仿宋_GB2312" w:hAnsi="宋体" w:cs="宋体"/>
                <w:color w:val="000000"/>
                <w:kern w:val="0"/>
                <w:sz w:val="24"/>
                <w:szCs w:val="24"/>
              </w:rPr>
            </w:pPr>
          </w:p>
        </w:tc>
        <w:tc>
          <w:tcPr>
            <w:tcW w:w="6211" w:type="dxa"/>
            <w:vMerge w:val="continue"/>
          </w:tcPr>
          <w:p>
            <w:pPr>
              <w:spacing w:line="280" w:lineRule="exac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市政</w:t>
            </w:r>
          </w:p>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工程</w:t>
            </w:r>
          </w:p>
        </w:tc>
        <w:tc>
          <w:tcPr>
            <w:tcW w:w="1161"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041109001</w:t>
            </w:r>
          </w:p>
        </w:tc>
        <w:tc>
          <w:tcPr>
            <w:tcW w:w="650" w:type="dxa"/>
            <w:vMerge w:val="continue"/>
          </w:tcPr>
          <w:p>
            <w:pPr>
              <w:spacing w:line="420" w:lineRule="atLeast"/>
              <w:ind w:firstLine="0" w:firstLineChars="0"/>
              <w:jc w:val="center"/>
              <w:rPr>
                <w:rFonts w:ascii="仿宋_GB2312" w:hAnsi="宋体" w:cs="宋体"/>
                <w:color w:val="000000"/>
                <w:kern w:val="0"/>
                <w:sz w:val="24"/>
                <w:szCs w:val="24"/>
              </w:rPr>
            </w:pPr>
          </w:p>
        </w:tc>
        <w:tc>
          <w:tcPr>
            <w:tcW w:w="6211" w:type="dxa"/>
            <w:vMerge w:val="continue"/>
          </w:tcPr>
          <w:p>
            <w:pPr>
              <w:spacing w:line="280" w:lineRule="exac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6" w:hRule="atLeast"/>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园林绿化工程</w:t>
            </w:r>
          </w:p>
        </w:tc>
        <w:tc>
          <w:tcPr>
            <w:tcW w:w="1161"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050405001</w:t>
            </w:r>
          </w:p>
        </w:tc>
        <w:tc>
          <w:tcPr>
            <w:tcW w:w="650" w:type="dxa"/>
            <w:vMerge w:val="restart"/>
            <w:vAlign w:val="center"/>
          </w:tcPr>
          <w:p>
            <w:pPr>
              <w:spacing w:line="42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安全文明施工</w:t>
            </w:r>
          </w:p>
        </w:tc>
        <w:tc>
          <w:tcPr>
            <w:tcW w:w="6211" w:type="dxa"/>
            <w:vMerge w:val="restart"/>
            <w:vAlign w:val="center"/>
          </w:tcPr>
          <w:p>
            <w:pPr>
              <w:spacing w:line="280" w:lineRule="exact"/>
              <w:ind w:left="-45" w:leftChars="-16" w:firstLine="0" w:firstLineChars="0"/>
              <w:rPr>
                <w:rFonts w:ascii="仿宋_GB2312" w:hAnsi="宋体"/>
                <w:sz w:val="24"/>
                <w:szCs w:val="24"/>
              </w:rPr>
            </w:pPr>
            <w:r>
              <w:rPr>
                <w:rFonts w:hint="eastAsia" w:ascii="仿宋_GB2312" w:hAnsi="宋体"/>
                <w:sz w:val="24"/>
                <w:szCs w:val="24"/>
              </w:rPr>
              <w:t>施工安全用电的费用，包括配电箱三级配电、两级保护装置要求、外电防护措施；起重机、塔吊等起重设备（含井架、门架）及外用电梯的安全防护措施（含警示标志）费用及卸料平台的临边防护、层间安全门、防护棚等设施费用；建筑工地起重机械的检验检测费用；施工机具防护棚及其围栏的安全保护设施费用；施工安全防护通道的费用；工人的安全防护用品、用具购置费用；消防设施与消防器材的配置费用；电气保护、安全照明设施费；其他安全防护措施费用。</w:t>
            </w:r>
          </w:p>
          <w:p>
            <w:pPr>
              <w:spacing w:line="280" w:lineRule="exact"/>
              <w:ind w:firstLine="0" w:firstLineChars="0"/>
              <w:rPr>
                <w:rFonts w:ascii="仿宋_GB2312" w:hAnsi="宋体" w:cs="宋体"/>
                <w:color w:val="000000"/>
                <w:kern w:val="0"/>
                <w:sz w:val="24"/>
                <w:szCs w:val="24"/>
              </w:rPr>
            </w:pPr>
            <w:r>
              <w:rPr>
                <w:rFonts w:hint="eastAsia" w:ascii="仿宋_GB2312" w:hAnsi="宋体"/>
                <w:sz w:val="24"/>
                <w:szCs w:val="24"/>
              </w:rPr>
              <w:t>4.绿色施工：建筑垃圾分类收集及回收利用费用；夜间焊接作业及大型照明灯具的挡光措施费用；施工现场办公区、生活区使用节水器具及节能灯具增加费用；施工现场基坑降水储存使用、雨水收集系统、冲洗设备用水回收利用设施增加费用；施工现场生活区厕所化粪池、厨房隔油池设置及清理费用；从事有毒、有害、有刺激性气味和强光、噪音施工人员的防护器具；现场危险设备、地段、有毒物品存放地安全标识和防护措施；厕所、卫生设施、排水沟、阴暗潮湿地带定期消毒费用；保障现场施工人员劳动强度和工作时间符合国家标准《体力劳动强度分级》GB3869的增加费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2" w:hRule="atLeast"/>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构筑物工程</w:t>
            </w:r>
          </w:p>
        </w:tc>
        <w:tc>
          <w:tcPr>
            <w:tcW w:w="1161" w:type="dxa"/>
            <w:vAlign w:val="center"/>
          </w:tcPr>
          <w:p>
            <w:pPr>
              <w:spacing w:line="420" w:lineRule="exact"/>
              <w:ind w:firstLine="0" w:firstLineChars="0"/>
              <w:rPr>
                <w:rFonts w:ascii="仿宋_GB2312" w:hAnsi="宋体" w:cs="宋体"/>
                <w:color w:val="000000"/>
                <w:kern w:val="0"/>
                <w:sz w:val="24"/>
                <w:szCs w:val="24"/>
              </w:rPr>
            </w:pPr>
            <w:r>
              <w:rPr>
                <w:rFonts w:hint="eastAsia" w:ascii="仿宋_GB2312" w:hAnsi="宋体" w:cs="宋体"/>
                <w:color w:val="000000"/>
                <w:kern w:val="0"/>
                <w:sz w:val="24"/>
                <w:szCs w:val="24"/>
              </w:rPr>
              <w:t>070306001</w:t>
            </w:r>
          </w:p>
        </w:tc>
        <w:tc>
          <w:tcPr>
            <w:tcW w:w="650" w:type="dxa"/>
            <w:vMerge w:val="continue"/>
          </w:tcPr>
          <w:p>
            <w:pPr>
              <w:spacing w:line="420" w:lineRule="atLeast"/>
              <w:ind w:firstLine="0" w:firstLineChars="0"/>
              <w:rPr>
                <w:rFonts w:ascii="仿宋_GB2312" w:hAnsi="宋体" w:cs="宋体"/>
                <w:color w:val="000000"/>
                <w:kern w:val="0"/>
                <w:sz w:val="24"/>
                <w:szCs w:val="24"/>
              </w:rPr>
            </w:pPr>
          </w:p>
        </w:tc>
        <w:tc>
          <w:tcPr>
            <w:tcW w:w="6211" w:type="dxa"/>
            <w:vMerge w:val="continue"/>
          </w:tcPr>
          <w:p>
            <w:pPr>
              <w:spacing w:line="420" w:lineRule="atLeast"/>
              <w:ind w:firstLine="0" w:firstLineChars="0"/>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4" w:hRule="atLeast"/>
          <w:jc w:val="center"/>
        </w:trPr>
        <w:tc>
          <w:tcPr>
            <w:tcW w:w="762" w:type="dxa"/>
            <w:vAlign w:val="center"/>
          </w:tcPr>
          <w:p>
            <w:pPr>
              <w:spacing w:line="42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城市轨道交通工程</w:t>
            </w:r>
          </w:p>
        </w:tc>
        <w:tc>
          <w:tcPr>
            <w:tcW w:w="1161" w:type="dxa"/>
            <w:vAlign w:val="center"/>
          </w:tcPr>
          <w:p>
            <w:pPr>
              <w:spacing w:line="420" w:lineRule="exact"/>
              <w:ind w:firstLine="0" w:firstLineChars="0"/>
              <w:rPr>
                <w:rFonts w:ascii="仿宋_GB2312" w:hAnsi="宋体" w:cs="宋体"/>
                <w:color w:val="000000"/>
                <w:kern w:val="0"/>
                <w:sz w:val="24"/>
                <w:szCs w:val="24"/>
              </w:rPr>
            </w:pPr>
            <w:r>
              <w:rPr>
                <w:rFonts w:hint="eastAsia" w:ascii="仿宋_GB2312" w:hAnsi="宋体" w:cs="宋体"/>
                <w:color w:val="000000"/>
                <w:kern w:val="0"/>
                <w:sz w:val="24"/>
                <w:szCs w:val="24"/>
              </w:rPr>
              <w:t>081311001</w:t>
            </w:r>
          </w:p>
        </w:tc>
        <w:tc>
          <w:tcPr>
            <w:tcW w:w="650" w:type="dxa"/>
            <w:vMerge w:val="continue"/>
          </w:tcPr>
          <w:p>
            <w:pPr>
              <w:spacing w:line="420" w:lineRule="atLeast"/>
              <w:ind w:firstLine="0" w:firstLineChars="0"/>
              <w:rPr>
                <w:rFonts w:ascii="仿宋_GB2312" w:hAnsi="宋体" w:cs="宋体"/>
                <w:color w:val="000000"/>
                <w:kern w:val="0"/>
                <w:sz w:val="24"/>
                <w:szCs w:val="24"/>
              </w:rPr>
            </w:pPr>
          </w:p>
        </w:tc>
        <w:tc>
          <w:tcPr>
            <w:tcW w:w="6211" w:type="dxa"/>
            <w:vMerge w:val="continue"/>
          </w:tcPr>
          <w:p>
            <w:pPr>
              <w:spacing w:line="420" w:lineRule="atLeast"/>
              <w:ind w:firstLine="0" w:firstLineChars="0"/>
              <w:rPr>
                <w:rFonts w:ascii="仿宋_GB2312" w:hAnsi="宋体" w:cs="宋体"/>
                <w:color w:val="000000"/>
                <w:kern w:val="0"/>
                <w:sz w:val="24"/>
                <w:szCs w:val="24"/>
              </w:rPr>
            </w:pPr>
          </w:p>
        </w:tc>
      </w:tr>
    </w:tbl>
    <w:tbl>
      <w:tblPr>
        <w:tblStyle w:val="22"/>
        <w:tblpPr w:leftFromText="180" w:rightFromText="180" w:vertAnchor="text" w:horzAnchor="margin" w:tblpXSpec="center" w:tblpY="260"/>
        <w:tblW w:w="90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9"/>
        <w:gridCol w:w="1366"/>
        <w:gridCol w:w="630"/>
        <w:gridCol w:w="4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2209"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工程类型</w:t>
            </w:r>
          </w:p>
        </w:tc>
        <w:tc>
          <w:tcPr>
            <w:tcW w:w="1366"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项目编码</w:t>
            </w:r>
          </w:p>
        </w:tc>
        <w:tc>
          <w:tcPr>
            <w:tcW w:w="630"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项目名称</w:t>
            </w:r>
          </w:p>
        </w:tc>
        <w:tc>
          <w:tcPr>
            <w:tcW w:w="4833"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工作内容及包含范围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房屋建筑与装饰工程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011707008</w:t>
            </w:r>
          </w:p>
        </w:tc>
        <w:tc>
          <w:tcPr>
            <w:tcW w:w="630" w:type="dxa"/>
            <w:vMerge w:val="restart"/>
            <w:vAlign w:val="center"/>
          </w:tcPr>
          <w:p>
            <w:pPr>
              <w:spacing w:line="42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临时设施</w:t>
            </w:r>
          </w:p>
        </w:tc>
        <w:tc>
          <w:tcPr>
            <w:tcW w:w="4833" w:type="dxa"/>
            <w:vMerge w:val="restart"/>
            <w:vAlign w:val="center"/>
          </w:tcPr>
          <w:p>
            <w:pPr>
              <w:spacing w:line="240" w:lineRule="exact"/>
              <w:ind w:firstLine="0" w:firstLineChars="0"/>
              <w:rPr>
                <w:rFonts w:ascii="仿宋_GB2312" w:hAnsi="宋体"/>
                <w:sz w:val="24"/>
                <w:szCs w:val="24"/>
              </w:rPr>
            </w:pPr>
            <w:r>
              <w:rPr>
                <w:rFonts w:hint="eastAsia" w:ascii="仿宋_GB2312" w:hAnsi="宋体"/>
                <w:sz w:val="24"/>
                <w:szCs w:val="24"/>
              </w:rPr>
              <w:t>临时设施包括施工所必须搭设的生活和生产用的临时建筑物、构筑物和其他临时设施的费用等。包括施工现场临时宿舍、文化福利及公用事业房屋与构筑物、仓库、办公室、加工厂、工地实验室以及规定范围内的道路、水、电、管线等临时设施和小型临时设施等的搭设、维修、拆除、周转或摊销等费用。</w:t>
            </w:r>
          </w:p>
          <w:p>
            <w:pPr>
              <w:spacing w:line="240" w:lineRule="exact"/>
              <w:ind w:firstLine="0" w:firstLineChars="0"/>
              <w:rPr>
                <w:rFonts w:ascii="仿宋_GB2312" w:hAnsi="宋体"/>
                <w:sz w:val="24"/>
                <w:szCs w:val="24"/>
              </w:rPr>
            </w:pPr>
            <w:r>
              <w:rPr>
                <w:rFonts w:hint="eastAsia" w:ascii="仿宋_GB2312" w:hAnsi="宋体"/>
                <w:sz w:val="24"/>
                <w:szCs w:val="24"/>
              </w:rPr>
              <w:t>建筑、装饰、安装、修缮、古建园林工程规定范围内是指建筑物沿边起50米以内，多幢建筑两幢间隔50米内。</w:t>
            </w:r>
          </w:p>
          <w:p>
            <w:pPr>
              <w:spacing w:line="240" w:lineRule="exact"/>
              <w:ind w:firstLine="0" w:firstLineChars="0"/>
              <w:rPr>
                <w:rFonts w:ascii="仿宋_GB2312" w:hAnsi="宋体" w:cs="宋体"/>
                <w:color w:val="000000"/>
                <w:kern w:val="0"/>
                <w:sz w:val="24"/>
                <w:szCs w:val="24"/>
              </w:rPr>
            </w:pPr>
            <w:r>
              <w:rPr>
                <w:rFonts w:hint="eastAsia" w:ascii="仿宋_GB2312" w:hAnsi="宋体"/>
                <w:sz w:val="24"/>
                <w:szCs w:val="24"/>
              </w:rPr>
              <w:t>市政工程规定范围是指定额基本运距范围内的临时给水、排水、供电、供热线路（不包括变压器、锅炉等设备）、临时道路。不包括交通疏解分流通道、现场与公路（市政道路）的连接道路、道路工程的护栏（围挡），也不包括单独的管道工程或单独的驳岸工程施工需要的沿线简易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仿古建筑工程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021007008</w:t>
            </w:r>
          </w:p>
        </w:tc>
        <w:tc>
          <w:tcPr>
            <w:tcW w:w="630" w:type="dxa"/>
            <w:vMerge w:val="continue"/>
            <w:vAlign w:val="center"/>
          </w:tcPr>
          <w:p>
            <w:pPr>
              <w:spacing w:line="420" w:lineRule="atLeast"/>
              <w:ind w:firstLine="0" w:firstLineChars="0"/>
              <w:jc w:val="center"/>
              <w:rPr>
                <w:rFonts w:ascii="仿宋_GB2312" w:hAnsi="宋体" w:cs="宋体"/>
                <w:color w:val="000000"/>
                <w:kern w:val="0"/>
                <w:sz w:val="24"/>
                <w:szCs w:val="24"/>
              </w:rPr>
            </w:pPr>
          </w:p>
        </w:tc>
        <w:tc>
          <w:tcPr>
            <w:tcW w:w="4833" w:type="dxa"/>
            <w:vMerge w:val="continue"/>
            <w:vAlign w:val="center"/>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通用安装工程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031302008</w:t>
            </w:r>
          </w:p>
        </w:tc>
        <w:tc>
          <w:tcPr>
            <w:tcW w:w="630" w:type="dxa"/>
            <w:vMerge w:val="continue"/>
            <w:vAlign w:val="center"/>
          </w:tcPr>
          <w:p>
            <w:pPr>
              <w:spacing w:line="420" w:lineRule="atLeast"/>
              <w:ind w:firstLine="0" w:firstLineChars="0"/>
              <w:jc w:val="center"/>
              <w:rPr>
                <w:rFonts w:ascii="仿宋_GB2312" w:hAnsi="宋体" w:cs="宋体"/>
                <w:color w:val="000000"/>
                <w:kern w:val="0"/>
                <w:sz w:val="24"/>
                <w:szCs w:val="24"/>
              </w:rPr>
            </w:pPr>
          </w:p>
        </w:tc>
        <w:tc>
          <w:tcPr>
            <w:tcW w:w="4833" w:type="dxa"/>
            <w:vMerge w:val="continue"/>
            <w:vAlign w:val="center"/>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市政工程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041109008</w:t>
            </w:r>
          </w:p>
        </w:tc>
        <w:tc>
          <w:tcPr>
            <w:tcW w:w="630" w:type="dxa"/>
            <w:vMerge w:val="continue"/>
            <w:vAlign w:val="center"/>
          </w:tcPr>
          <w:p>
            <w:pPr>
              <w:spacing w:line="420" w:lineRule="atLeast"/>
              <w:ind w:firstLine="0" w:firstLineChars="0"/>
              <w:jc w:val="center"/>
              <w:rPr>
                <w:rFonts w:ascii="仿宋_GB2312" w:hAnsi="宋体" w:cs="宋体"/>
                <w:color w:val="000000"/>
                <w:kern w:val="0"/>
                <w:sz w:val="24"/>
                <w:szCs w:val="24"/>
              </w:rPr>
            </w:pPr>
          </w:p>
        </w:tc>
        <w:tc>
          <w:tcPr>
            <w:tcW w:w="4833" w:type="dxa"/>
            <w:vMerge w:val="continue"/>
            <w:vAlign w:val="center"/>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园林绿化工程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050405009</w:t>
            </w:r>
          </w:p>
        </w:tc>
        <w:tc>
          <w:tcPr>
            <w:tcW w:w="630" w:type="dxa"/>
            <w:vMerge w:val="continue"/>
            <w:vAlign w:val="center"/>
          </w:tcPr>
          <w:p>
            <w:pPr>
              <w:spacing w:line="420" w:lineRule="atLeast"/>
              <w:ind w:firstLine="0" w:firstLineChars="0"/>
              <w:jc w:val="center"/>
              <w:rPr>
                <w:rFonts w:ascii="仿宋_GB2312" w:hAnsi="宋体" w:cs="宋体"/>
                <w:color w:val="000000"/>
                <w:kern w:val="0"/>
                <w:sz w:val="24"/>
                <w:szCs w:val="24"/>
              </w:rPr>
            </w:pPr>
          </w:p>
        </w:tc>
        <w:tc>
          <w:tcPr>
            <w:tcW w:w="4833" w:type="dxa"/>
            <w:vMerge w:val="continue"/>
            <w:vAlign w:val="center"/>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构筑物工程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070306009</w:t>
            </w:r>
          </w:p>
        </w:tc>
        <w:tc>
          <w:tcPr>
            <w:tcW w:w="630" w:type="dxa"/>
            <w:vMerge w:val="continue"/>
            <w:vAlign w:val="center"/>
          </w:tcPr>
          <w:p>
            <w:pPr>
              <w:spacing w:line="420" w:lineRule="atLeast"/>
              <w:ind w:firstLine="0" w:firstLineChars="0"/>
              <w:rPr>
                <w:rFonts w:ascii="仿宋_GB2312" w:hAnsi="宋体" w:cs="宋体"/>
                <w:color w:val="000000"/>
                <w:kern w:val="0"/>
                <w:sz w:val="24"/>
                <w:szCs w:val="24"/>
              </w:rPr>
            </w:pPr>
          </w:p>
        </w:tc>
        <w:tc>
          <w:tcPr>
            <w:tcW w:w="4833" w:type="dxa"/>
            <w:vMerge w:val="continue"/>
            <w:vAlign w:val="center"/>
          </w:tcPr>
          <w:p>
            <w:pPr>
              <w:spacing w:line="420" w:lineRule="atLeast"/>
              <w:ind w:firstLine="0" w:firstLineChars="0"/>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3" w:hRule="atLeast"/>
        </w:trPr>
        <w:tc>
          <w:tcPr>
            <w:tcW w:w="2209"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城市轨道交通工程</w:t>
            </w:r>
          </w:p>
        </w:tc>
        <w:tc>
          <w:tcPr>
            <w:tcW w:w="1366" w:type="dxa"/>
            <w:vAlign w:val="center"/>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081311007</w:t>
            </w:r>
          </w:p>
        </w:tc>
        <w:tc>
          <w:tcPr>
            <w:tcW w:w="630" w:type="dxa"/>
            <w:vMerge w:val="continue"/>
            <w:vAlign w:val="center"/>
          </w:tcPr>
          <w:p>
            <w:pPr>
              <w:spacing w:line="420" w:lineRule="atLeast"/>
              <w:ind w:firstLine="0" w:firstLineChars="0"/>
              <w:rPr>
                <w:rFonts w:ascii="仿宋_GB2312" w:hAnsi="宋体" w:cs="宋体"/>
                <w:color w:val="000000"/>
                <w:kern w:val="0"/>
                <w:sz w:val="24"/>
                <w:szCs w:val="24"/>
              </w:rPr>
            </w:pPr>
          </w:p>
        </w:tc>
        <w:tc>
          <w:tcPr>
            <w:tcW w:w="4833" w:type="dxa"/>
            <w:vMerge w:val="continue"/>
            <w:vAlign w:val="center"/>
          </w:tcPr>
          <w:p>
            <w:pPr>
              <w:spacing w:line="420" w:lineRule="atLeast"/>
              <w:ind w:firstLine="0" w:firstLineChars="0"/>
              <w:rPr>
                <w:rFonts w:ascii="仿宋_GB2312" w:hAnsi="宋体" w:cs="宋体"/>
                <w:color w:val="000000"/>
                <w:kern w:val="0"/>
                <w:sz w:val="24"/>
                <w:szCs w:val="24"/>
              </w:rPr>
            </w:pPr>
          </w:p>
        </w:tc>
      </w:tr>
    </w:tbl>
    <w:p>
      <w:pPr>
        <w:spacing w:line="420" w:lineRule="atLeast"/>
        <w:ind w:firstLine="480"/>
        <w:rPr>
          <w:rFonts w:ascii="仿宋_GB2312" w:hAnsi="宋体" w:cs="宋体"/>
          <w:color w:val="000000"/>
          <w:kern w:val="0"/>
          <w:sz w:val="24"/>
          <w:szCs w:val="24"/>
        </w:rPr>
      </w:pPr>
    </w:p>
    <w:tbl>
      <w:tblPr>
        <w:tblStyle w:val="22"/>
        <w:tblW w:w="903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3"/>
        <w:gridCol w:w="2086"/>
        <w:gridCol w:w="14"/>
        <w:gridCol w:w="802"/>
        <w:gridCol w:w="3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2523"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工程类型</w:t>
            </w:r>
          </w:p>
        </w:tc>
        <w:tc>
          <w:tcPr>
            <w:tcW w:w="2100" w:type="dxa"/>
            <w:gridSpan w:val="2"/>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项目编码</w:t>
            </w:r>
          </w:p>
        </w:tc>
        <w:tc>
          <w:tcPr>
            <w:tcW w:w="802"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项目</w:t>
            </w:r>
          </w:p>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名称</w:t>
            </w:r>
          </w:p>
        </w:tc>
        <w:tc>
          <w:tcPr>
            <w:tcW w:w="3608"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工作内容及包含范围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房屋建筑与装饰工程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011707009</w:t>
            </w:r>
          </w:p>
        </w:tc>
        <w:tc>
          <w:tcPr>
            <w:tcW w:w="802" w:type="dxa"/>
            <w:vMerge w:val="restart"/>
            <w:vAlign w:val="center"/>
          </w:tcPr>
          <w:p>
            <w:pPr>
              <w:spacing w:line="42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赶工</w:t>
            </w:r>
          </w:p>
          <w:p>
            <w:pPr>
              <w:spacing w:line="42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措施</w:t>
            </w:r>
          </w:p>
        </w:tc>
        <w:tc>
          <w:tcPr>
            <w:tcW w:w="3608" w:type="dxa"/>
            <w:vMerge w:val="restart"/>
            <w:vAlign w:val="center"/>
          </w:tcPr>
          <w:p>
            <w:pPr>
              <w:spacing w:line="240" w:lineRule="exact"/>
              <w:ind w:firstLine="0" w:firstLineChars="0"/>
              <w:rPr>
                <w:rFonts w:ascii="仿宋_GB2312" w:hAnsi="宋体" w:cs="宋体"/>
                <w:color w:val="000000"/>
                <w:kern w:val="0"/>
                <w:sz w:val="24"/>
                <w:szCs w:val="24"/>
              </w:rPr>
            </w:pPr>
            <w:r>
              <w:rPr>
                <w:rFonts w:hint="eastAsia" w:ascii="仿宋_GB2312" w:hAnsi="宋体"/>
                <w:sz w:val="24"/>
                <w:szCs w:val="24"/>
              </w:rPr>
              <w:t>施工合同约定工期比我省现行工期定额提前，施工企业为缩短工期所发生的费用。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仿古建筑工程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021007009</w:t>
            </w:r>
          </w:p>
        </w:tc>
        <w:tc>
          <w:tcPr>
            <w:tcW w:w="802" w:type="dxa"/>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通用安装工程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031302009</w:t>
            </w:r>
          </w:p>
        </w:tc>
        <w:tc>
          <w:tcPr>
            <w:tcW w:w="802" w:type="dxa"/>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市政工程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041109009</w:t>
            </w:r>
          </w:p>
        </w:tc>
        <w:tc>
          <w:tcPr>
            <w:tcW w:w="802" w:type="dxa"/>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园林绿化工程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050405010</w:t>
            </w:r>
          </w:p>
        </w:tc>
        <w:tc>
          <w:tcPr>
            <w:tcW w:w="802" w:type="dxa"/>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构筑物工程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070306010</w:t>
            </w:r>
          </w:p>
        </w:tc>
        <w:tc>
          <w:tcPr>
            <w:tcW w:w="802" w:type="dxa"/>
            <w:vMerge w:val="continue"/>
          </w:tcPr>
          <w:p>
            <w:pPr>
              <w:spacing w:line="420" w:lineRule="atLeast"/>
              <w:ind w:firstLine="0" w:firstLineChars="0"/>
              <w:rPr>
                <w:rFonts w:ascii="仿宋_GB2312" w:hAnsi="宋体" w:cs="宋体"/>
                <w:color w:val="000000"/>
                <w:kern w:val="0"/>
                <w:sz w:val="24"/>
                <w:szCs w:val="24"/>
              </w:rPr>
            </w:pPr>
          </w:p>
        </w:tc>
        <w:tc>
          <w:tcPr>
            <w:tcW w:w="3608" w:type="dxa"/>
            <w:vMerge w:val="continue"/>
          </w:tcPr>
          <w:p>
            <w:pPr>
              <w:spacing w:line="420" w:lineRule="atLeast"/>
              <w:ind w:firstLine="0" w:firstLineChars="0"/>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城市轨道交通工程</w:t>
            </w:r>
          </w:p>
        </w:tc>
        <w:tc>
          <w:tcPr>
            <w:tcW w:w="2100" w:type="dxa"/>
            <w:gridSpan w:val="2"/>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081311008</w:t>
            </w:r>
          </w:p>
        </w:tc>
        <w:tc>
          <w:tcPr>
            <w:tcW w:w="802" w:type="dxa"/>
            <w:vMerge w:val="continue"/>
          </w:tcPr>
          <w:p>
            <w:pPr>
              <w:spacing w:line="420" w:lineRule="atLeast"/>
              <w:ind w:firstLine="0" w:firstLineChars="0"/>
              <w:rPr>
                <w:rFonts w:ascii="仿宋_GB2312" w:hAnsi="宋体" w:cs="宋体"/>
                <w:color w:val="000000"/>
                <w:kern w:val="0"/>
                <w:sz w:val="24"/>
                <w:szCs w:val="24"/>
              </w:rPr>
            </w:pPr>
          </w:p>
        </w:tc>
        <w:tc>
          <w:tcPr>
            <w:tcW w:w="3608" w:type="dxa"/>
            <w:vMerge w:val="continue"/>
          </w:tcPr>
          <w:p>
            <w:pPr>
              <w:spacing w:line="420" w:lineRule="atLeast"/>
              <w:ind w:firstLine="0" w:firstLineChars="0"/>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房屋建筑与装饰工程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011707010</w:t>
            </w:r>
          </w:p>
        </w:tc>
        <w:tc>
          <w:tcPr>
            <w:tcW w:w="816" w:type="dxa"/>
            <w:gridSpan w:val="2"/>
            <w:vMerge w:val="restart"/>
            <w:vAlign w:val="center"/>
          </w:tcPr>
          <w:p>
            <w:pPr>
              <w:spacing w:line="42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工程按质论价</w:t>
            </w:r>
          </w:p>
        </w:tc>
        <w:tc>
          <w:tcPr>
            <w:tcW w:w="3608" w:type="dxa"/>
            <w:vMerge w:val="restart"/>
            <w:vAlign w:val="center"/>
          </w:tcPr>
          <w:p>
            <w:pPr>
              <w:spacing w:line="240" w:lineRule="exact"/>
              <w:ind w:firstLine="0" w:firstLineChars="0"/>
              <w:jc w:val="left"/>
              <w:rPr>
                <w:rFonts w:ascii="仿宋_GB2312" w:hAnsi="宋体"/>
                <w:sz w:val="24"/>
                <w:szCs w:val="24"/>
              </w:rPr>
            </w:pPr>
          </w:p>
          <w:p>
            <w:pPr>
              <w:spacing w:line="240" w:lineRule="exact"/>
              <w:ind w:firstLine="0" w:firstLineChars="0"/>
              <w:jc w:val="left"/>
              <w:rPr>
                <w:rFonts w:ascii="仿宋_GB2312" w:hAnsi="宋体" w:cs="宋体"/>
                <w:color w:val="000000"/>
                <w:kern w:val="0"/>
                <w:sz w:val="24"/>
                <w:szCs w:val="24"/>
              </w:rPr>
            </w:pPr>
            <w:r>
              <w:rPr>
                <w:rFonts w:hint="eastAsia" w:ascii="仿宋_GB2312" w:hAnsi="宋体"/>
                <w:sz w:val="24"/>
                <w:szCs w:val="24"/>
              </w:rPr>
              <w:t>施工合同约定质量标准超过国家规定，施工企业完成工程质量达到经有权部门鉴定或评定为优质工程（包括优质结构工程）所必须增加的施工成本费。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仿古建筑工程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021007010</w:t>
            </w:r>
          </w:p>
        </w:tc>
        <w:tc>
          <w:tcPr>
            <w:tcW w:w="816" w:type="dxa"/>
            <w:gridSpan w:val="2"/>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通用安装工程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031302010</w:t>
            </w:r>
          </w:p>
        </w:tc>
        <w:tc>
          <w:tcPr>
            <w:tcW w:w="816" w:type="dxa"/>
            <w:gridSpan w:val="2"/>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市政工程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041109010</w:t>
            </w:r>
          </w:p>
        </w:tc>
        <w:tc>
          <w:tcPr>
            <w:tcW w:w="816" w:type="dxa"/>
            <w:gridSpan w:val="2"/>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园林绿化工程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050405011</w:t>
            </w:r>
          </w:p>
        </w:tc>
        <w:tc>
          <w:tcPr>
            <w:tcW w:w="816" w:type="dxa"/>
            <w:gridSpan w:val="2"/>
            <w:vMerge w:val="continue"/>
          </w:tcPr>
          <w:p>
            <w:pPr>
              <w:spacing w:line="420" w:lineRule="atLeast"/>
              <w:ind w:firstLine="0" w:firstLineChars="0"/>
              <w:jc w:val="center"/>
              <w:rPr>
                <w:rFonts w:ascii="仿宋_GB2312" w:hAnsi="宋体" w:cs="宋体"/>
                <w:color w:val="000000"/>
                <w:kern w:val="0"/>
                <w:sz w:val="24"/>
                <w:szCs w:val="24"/>
              </w:rPr>
            </w:pPr>
          </w:p>
        </w:tc>
        <w:tc>
          <w:tcPr>
            <w:tcW w:w="3608" w:type="dxa"/>
            <w:vMerge w:val="continue"/>
          </w:tcPr>
          <w:p>
            <w:pPr>
              <w:spacing w:line="420" w:lineRule="atLeast"/>
              <w:ind w:firstLine="0" w:firstLineChars="0"/>
              <w:jc w:val="center"/>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构筑物工程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070306011</w:t>
            </w:r>
          </w:p>
        </w:tc>
        <w:tc>
          <w:tcPr>
            <w:tcW w:w="816" w:type="dxa"/>
            <w:gridSpan w:val="2"/>
            <w:vMerge w:val="continue"/>
          </w:tcPr>
          <w:p>
            <w:pPr>
              <w:spacing w:line="420" w:lineRule="atLeast"/>
              <w:ind w:firstLine="0" w:firstLineChars="0"/>
              <w:rPr>
                <w:rFonts w:ascii="仿宋_GB2312" w:hAnsi="宋体" w:cs="宋体"/>
                <w:color w:val="000000"/>
                <w:kern w:val="0"/>
                <w:sz w:val="24"/>
                <w:szCs w:val="24"/>
              </w:rPr>
            </w:pPr>
          </w:p>
        </w:tc>
        <w:tc>
          <w:tcPr>
            <w:tcW w:w="3608" w:type="dxa"/>
            <w:vMerge w:val="continue"/>
          </w:tcPr>
          <w:p>
            <w:pPr>
              <w:spacing w:line="420" w:lineRule="atLeast"/>
              <w:ind w:firstLine="0" w:firstLineChars="0"/>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3"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城市轨道交通工程</w:t>
            </w:r>
          </w:p>
        </w:tc>
        <w:tc>
          <w:tcPr>
            <w:tcW w:w="2086" w:type="dxa"/>
          </w:tcPr>
          <w:p>
            <w:pPr>
              <w:spacing w:line="360" w:lineRule="atLeas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081311009</w:t>
            </w:r>
          </w:p>
        </w:tc>
        <w:tc>
          <w:tcPr>
            <w:tcW w:w="816" w:type="dxa"/>
            <w:gridSpan w:val="2"/>
            <w:vMerge w:val="continue"/>
          </w:tcPr>
          <w:p>
            <w:pPr>
              <w:spacing w:line="420" w:lineRule="atLeast"/>
              <w:ind w:firstLine="0" w:firstLineChars="0"/>
              <w:rPr>
                <w:rFonts w:ascii="仿宋_GB2312" w:hAnsi="宋体" w:cs="宋体"/>
                <w:color w:val="000000"/>
                <w:kern w:val="0"/>
                <w:sz w:val="24"/>
                <w:szCs w:val="24"/>
              </w:rPr>
            </w:pPr>
          </w:p>
        </w:tc>
        <w:tc>
          <w:tcPr>
            <w:tcW w:w="3608" w:type="dxa"/>
            <w:vMerge w:val="continue"/>
          </w:tcPr>
          <w:p>
            <w:pPr>
              <w:spacing w:line="420" w:lineRule="atLeast"/>
              <w:ind w:firstLine="0" w:firstLineChars="0"/>
              <w:rPr>
                <w:rFonts w:ascii="仿宋_GB2312" w:hAnsi="宋体" w:cs="宋体"/>
                <w:color w:val="000000"/>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2523"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房屋建筑与装饰工程</w:t>
            </w:r>
          </w:p>
        </w:tc>
        <w:tc>
          <w:tcPr>
            <w:tcW w:w="2086"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011707011</w:t>
            </w:r>
          </w:p>
        </w:tc>
        <w:tc>
          <w:tcPr>
            <w:tcW w:w="816" w:type="dxa"/>
            <w:gridSpan w:val="2"/>
            <w:vMerge w:val="restart"/>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住宅分户</w:t>
            </w:r>
          </w:p>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验收</w:t>
            </w:r>
          </w:p>
        </w:tc>
        <w:tc>
          <w:tcPr>
            <w:tcW w:w="3608" w:type="dxa"/>
            <w:vMerge w:val="restart"/>
            <w:vAlign w:val="center"/>
          </w:tcPr>
          <w:p>
            <w:pPr>
              <w:spacing w:line="240" w:lineRule="exact"/>
              <w:ind w:firstLine="0" w:firstLineChars="0"/>
              <w:jc w:val="left"/>
              <w:rPr>
                <w:rFonts w:ascii="仿宋_GB2312" w:hAnsi="宋体" w:cs="宋体"/>
                <w:color w:val="000000"/>
                <w:kern w:val="0"/>
                <w:sz w:val="24"/>
                <w:szCs w:val="24"/>
              </w:rPr>
            </w:pPr>
            <w:r>
              <w:rPr>
                <w:rFonts w:hint="eastAsia" w:ascii="仿宋_GB2312" w:hAnsi="宋体"/>
                <w:sz w:val="24"/>
                <w:szCs w:val="24"/>
              </w:rPr>
              <w:t>按《住宅工程质量分户验收规程》（DGJ32/TJ103-2010）的要求对住宅工程进行专门验收（包括蓄水、门窗淋水等）发生的费用。不包含室内空气污染测试费用。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2523"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通用安装工程</w:t>
            </w:r>
          </w:p>
        </w:tc>
        <w:tc>
          <w:tcPr>
            <w:tcW w:w="2086" w:type="dxa"/>
            <w:vAlign w:val="center"/>
          </w:tcPr>
          <w:p>
            <w:pPr>
              <w:spacing w:line="240" w:lineRule="exact"/>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031302011</w:t>
            </w:r>
          </w:p>
        </w:tc>
        <w:tc>
          <w:tcPr>
            <w:tcW w:w="816" w:type="dxa"/>
            <w:gridSpan w:val="2"/>
            <w:vMerge w:val="continue"/>
          </w:tcPr>
          <w:p>
            <w:pPr>
              <w:spacing w:line="420" w:lineRule="atLeast"/>
              <w:ind w:firstLine="0" w:firstLineChars="0"/>
              <w:jc w:val="center"/>
              <w:rPr>
                <w:rFonts w:ascii="仿宋_GB2312" w:hAnsi="宋体" w:cs="宋体"/>
                <w:color w:val="000000"/>
                <w:kern w:val="0"/>
                <w:szCs w:val="28"/>
              </w:rPr>
            </w:pPr>
          </w:p>
        </w:tc>
        <w:tc>
          <w:tcPr>
            <w:tcW w:w="3608" w:type="dxa"/>
            <w:vMerge w:val="continue"/>
          </w:tcPr>
          <w:p>
            <w:pPr>
              <w:spacing w:line="420" w:lineRule="atLeast"/>
              <w:ind w:firstLine="0" w:firstLineChars="0"/>
              <w:jc w:val="center"/>
              <w:rPr>
                <w:rFonts w:ascii="仿宋_GB2312" w:hAnsi="宋体" w:cs="宋体"/>
                <w:color w:val="000000"/>
                <w:kern w:val="0"/>
                <w:szCs w:val="28"/>
              </w:rPr>
            </w:pPr>
          </w:p>
        </w:tc>
      </w:tr>
    </w:tbl>
    <w:p>
      <w:pPr>
        <w:pStyle w:val="47"/>
        <w:tabs>
          <w:tab w:val="left" w:pos="484"/>
          <w:tab w:val="left" w:pos="1449"/>
        </w:tabs>
        <w:spacing w:line="419" w:lineRule="exact"/>
        <w:ind w:right="62" w:firstLine="0" w:firstLineChars="0"/>
        <w:jc w:val="both"/>
        <w:outlineLvl w:val="0"/>
        <w:rPr>
          <w:rFonts w:cs="Times New Roman"/>
          <w:sz w:val="24"/>
          <w:szCs w:val="24"/>
          <w:lang w:eastAsia="zh-CN"/>
        </w:rPr>
      </w:pPr>
      <w:r>
        <w:rPr>
          <w:rFonts w:hint="eastAsia" w:ascii="仿宋_GB2312" w:eastAsia="仿宋_GB2312"/>
          <w:color w:val="000000"/>
          <w:szCs w:val="28"/>
          <w:lang w:eastAsia="zh-CN"/>
        </w:rPr>
        <w:br w:type="page"/>
      </w:r>
      <w:bookmarkStart w:id="688" w:name="_Toc359844003"/>
      <w:bookmarkStart w:id="689" w:name="_Toc359843544"/>
      <w:bookmarkStart w:id="690" w:name="_Toc359930036"/>
      <w:r>
        <w:rPr>
          <w:rFonts w:hint="eastAsia"/>
          <w:sz w:val="24"/>
          <w:szCs w:val="24"/>
          <w:lang w:eastAsia="zh-CN"/>
        </w:rPr>
        <w:t xml:space="preserve"> </w:t>
      </w:r>
      <w:bookmarkEnd w:id="688"/>
      <w:bookmarkEnd w:id="689"/>
      <w:bookmarkEnd w:id="690"/>
      <w:bookmarkStart w:id="691" w:name="_Toc4498"/>
      <w:bookmarkStart w:id="692" w:name="_Toc24771"/>
      <w:bookmarkStart w:id="693" w:name="_Toc11761"/>
      <w:bookmarkStart w:id="694" w:name="_Toc8038"/>
      <w:bookmarkStart w:id="695" w:name="_Toc25835"/>
      <w:bookmarkStart w:id="696" w:name="_Toc24632"/>
      <w:bookmarkStart w:id="697" w:name="_Toc18650"/>
      <w:bookmarkStart w:id="698" w:name="_Toc1825"/>
      <w:bookmarkStart w:id="699" w:name="_Toc5837"/>
      <w:bookmarkStart w:id="700" w:name="_Toc18733"/>
      <w:bookmarkStart w:id="701" w:name="_Toc1178"/>
      <w:bookmarkStart w:id="702" w:name="_Toc18017"/>
      <w:bookmarkStart w:id="703" w:name="_Toc16874"/>
      <w:bookmarkStart w:id="704" w:name="_Toc21912"/>
      <w:bookmarkStart w:id="705" w:name="_Toc17777"/>
      <w:r>
        <w:rPr>
          <w:rFonts w:hint="eastAsia"/>
          <w:sz w:val="24"/>
          <w:szCs w:val="24"/>
          <w:lang w:eastAsia="zh-CN"/>
        </w:rPr>
        <w:t>附件二：</w:t>
      </w:r>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p>
    <w:p>
      <w:pPr>
        <w:pStyle w:val="48"/>
        <w:tabs>
          <w:tab w:val="left" w:pos="707"/>
        </w:tabs>
        <w:ind w:firstLine="724"/>
        <w:jc w:val="center"/>
        <w:outlineLvl w:val="2"/>
        <w:rPr>
          <w:rFonts w:ascii="方正小标宋_GBK" w:eastAsia="方正小标宋_GBK"/>
          <w:spacing w:val="1"/>
          <w:sz w:val="36"/>
          <w:szCs w:val="36"/>
          <w:lang w:eastAsia="zh-CN"/>
        </w:rPr>
      </w:pPr>
      <w:bookmarkStart w:id="706" w:name="_Toc2002"/>
      <w:bookmarkStart w:id="707" w:name="_Toc2200"/>
      <w:bookmarkStart w:id="708" w:name="_Toc359930015"/>
      <w:bookmarkStart w:id="709" w:name="_Toc359843982"/>
      <w:bookmarkStart w:id="710" w:name="_Toc4567"/>
      <w:bookmarkStart w:id="711" w:name="_Toc4603"/>
      <w:bookmarkStart w:id="712" w:name="_Toc359843523"/>
      <w:bookmarkStart w:id="713" w:name="_Toc359843988"/>
      <w:bookmarkStart w:id="714" w:name="_Toc359930021"/>
      <w:bookmarkStart w:id="715" w:name="_Toc359843529"/>
      <w:bookmarkStart w:id="716" w:name="_Toc359843995"/>
      <w:bookmarkStart w:id="717" w:name="_Toc359843536"/>
      <w:bookmarkStart w:id="718" w:name="_Toc359930028"/>
      <w:bookmarkStart w:id="719" w:name="_Toc359930037"/>
      <w:bookmarkStart w:id="720" w:name="_Toc359843545"/>
      <w:bookmarkStart w:id="721" w:name="_Toc359844004"/>
      <w:r>
        <w:rPr>
          <w:rFonts w:hint="eastAsia" w:ascii="方正小标宋_GBK" w:eastAsia="方正小标宋_GBK"/>
          <w:spacing w:val="1"/>
          <w:sz w:val="36"/>
          <w:szCs w:val="36"/>
          <w:lang w:eastAsia="zh-CN"/>
        </w:rPr>
        <w:t>F.2</w:t>
      </w:r>
      <w:r>
        <w:rPr>
          <w:rFonts w:hint="eastAsia" w:ascii="方正小标宋_GBK" w:eastAsia="方正小标宋_GBK" w:cs="Times New Roman"/>
          <w:spacing w:val="1"/>
          <w:sz w:val="36"/>
          <w:szCs w:val="36"/>
          <w:lang w:eastAsia="zh-CN"/>
        </w:rPr>
        <w:tab/>
      </w:r>
      <w:r>
        <w:rPr>
          <w:rFonts w:hint="eastAsia" w:ascii="方正小标宋_GBK" w:eastAsia="方正小标宋_GBK"/>
          <w:spacing w:val="1"/>
          <w:sz w:val="36"/>
          <w:szCs w:val="36"/>
          <w:lang w:eastAsia="zh-CN"/>
        </w:rPr>
        <w:t>综合单价分析表</w:t>
      </w:r>
      <w:bookmarkEnd w:id="706"/>
      <w:bookmarkEnd w:id="707"/>
      <w:bookmarkEnd w:id="708"/>
      <w:bookmarkEnd w:id="709"/>
      <w:bookmarkEnd w:id="710"/>
      <w:bookmarkEnd w:id="711"/>
      <w:bookmarkEnd w:id="712"/>
    </w:p>
    <w:p>
      <w:pPr>
        <w:pStyle w:val="8"/>
        <w:tabs>
          <w:tab w:val="left" w:pos="4529"/>
          <w:tab w:val="left" w:pos="7890"/>
          <w:tab w:val="left" w:pos="8416"/>
          <w:tab w:val="left" w:pos="9047"/>
        </w:tabs>
        <w:ind w:firstLine="240" w:firstLineChars="100"/>
        <w:rPr>
          <w:sz w:val="24"/>
          <w:szCs w:val="24"/>
        </w:rPr>
      </w:pPr>
      <w:r>
        <w:rPr>
          <w:rFonts w:hint="eastAsia"/>
          <w:sz w:val="24"/>
          <w:szCs w:val="24"/>
        </w:rPr>
        <w:t>工程</w:t>
      </w:r>
      <w:r>
        <w:rPr>
          <w:rFonts w:hint="eastAsia"/>
          <w:spacing w:val="-3"/>
          <w:sz w:val="24"/>
          <w:szCs w:val="24"/>
        </w:rPr>
        <w:t>名</w:t>
      </w:r>
      <w:r>
        <w:rPr>
          <w:rFonts w:hint="eastAsia"/>
          <w:sz w:val="24"/>
          <w:szCs w:val="24"/>
        </w:rPr>
        <w:t>称：</w:t>
      </w:r>
      <w:r>
        <w:rPr>
          <w:sz w:val="24"/>
          <w:szCs w:val="24"/>
        </w:rPr>
        <w:tab/>
      </w:r>
      <w:r>
        <w:rPr>
          <w:rFonts w:hint="eastAsia"/>
          <w:sz w:val="24"/>
          <w:szCs w:val="24"/>
        </w:rPr>
        <w:t>标</w:t>
      </w:r>
      <w:r>
        <w:rPr>
          <w:rFonts w:hint="eastAsia"/>
          <w:spacing w:val="-3"/>
          <w:sz w:val="24"/>
          <w:szCs w:val="24"/>
        </w:rPr>
        <w:t>段：</w:t>
      </w:r>
      <w:r>
        <w:rPr>
          <w:rFonts w:hint="eastAsia"/>
          <w:sz w:val="24"/>
          <w:szCs w:val="24"/>
        </w:rPr>
        <w:t xml:space="preserve">                 第  页  共  页</w:t>
      </w:r>
    </w:p>
    <w:p>
      <w:pPr>
        <w:spacing w:before="9" w:line="40" w:lineRule="exact"/>
        <w:ind w:firstLine="80"/>
        <w:rPr>
          <w:rFonts w:ascii="宋体"/>
          <w:sz w:val="4"/>
          <w:szCs w:val="4"/>
        </w:rPr>
      </w:pPr>
    </w:p>
    <w:tbl>
      <w:tblPr>
        <w:tblStyle w:val="22"/>
        <w:tblW w:w="8955" w:type="dxa"/>
        <w:jc w:val="center"/>
        <w:tblLayout w:type="fixed"/>
        <w:tblCellMar>
          <w:top w:w="0" w:type="dxa"/>
          <w:left w:w="0" w:type="dxa"/>
          <w:bottom w:w="0" w:type="dxa"/>
          <w:right w:w="0" w:type="dxa"/>
        </w:tblCellMar>
      </w:tblPr>
      <w:tblGrid>
        <w:gridCol w:w="541"/>
        <w:gridCol w:w="180"/>
        <w:gridCol w:w="319"/>
        <w:gridCol w:w="403"/>
        <w:gridCol w:w="541"/>
        <w:gridCol w:w="556"/>
        <w:gridCol w:w="29"/>
        <w:gridCol w:w="640"/>
        <w:gridCol w:w="200"/>
        <w:gridCol w:w="405"/>
        <w:gridCol w:w="631"/>
        <w:gridCol w:w="664"/>
        <w:gridCol w:w="530"/>
        <w:gridCol w:w="13"/>
        <w:gridCol w:w="601"/>
        <w:gridCol w:w="142"/>
        <w:gridCol w:w="553"/>
        <w:gridCol w:w="282"/>
        <w:gridCol w:w="407"/>
        <w:gridCol w:w="87"/>
        <w:gridCol w:w="243"/>
        <w:gridCol w:w="311"/>
        <w:gridCol w:w="677"/>
      </w:tblGrid>
      <w:tr>
        <w:tblPrEx>
          <w:tblCellMar>
            <w:top w:w="0" w:type="dxa"/>
            <w:left w:w="0" w:type="dxa"/>
            <w:bottom w:w="0" w:type="dxa"/>
            <w:right w:w="0" w:type="dxa"/>
          </w:tblCellMar>
        </w:tblPrEx>
        <w:trPr>
          <w:trHeight w:val="555" w:hRule="exact"/>
          <w:jc w:val="center"/>
        </w:trPr>
        <w:tc>
          <w:tcPr>
            <w:tcW w:w="1040" w:type="dxa"/>
            <w:gridSpan w:val="3"/>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项目编码</w:t>
            </w:r>
          </w:p>
        </w:tc>
        <w:tc>
          <w:tcPr>
            <w:tcW w:w="1500" w:type="dxa"/>
            <w:gridSpan w:val="3"/>
            <w:tcBorders>
              <w:top w:val="single" w:color="000000" w:sz="4" w:space="0"/>
              <w:left w:val="single" w:color="000000" w:sz="4" w:space="0"/>
              <w:bottom w:val="single" w:color="000000" w:sz="4" w:space="0"/>
              <w:right w:val="single" w:color="auto" w:sz="4" w:space="0"/>
            </w:tcBorders>
            <w:vAlign w:val="center"/>
          </w:tcPr>
          <w:p>
            <w:pPr>
              <w:pStyle w:val="49"/>
              <w:spacing w:line="240" w:lineRule="auto"/>
              <w:ind w:firstLine="0" w:firstLineChars="0"/>
              <w:jc w:val="center"/>
              <w:rPr>
                <w:rFonts w:ascii="宋体" w:cs="Times New Roman"/>
                <w:sz w:val="18"/>
                <w:szCs w:val="18"/>
              </w:rPr>
            </w:pPr>
          </w:p>
        </w:tc>
        <w:tc>
          <w:tcPr>
            <w:tcW w:w="869" w:type="dxa"/>
            <w:gridSpan w:val="3"/>
            <w:tcBorders>
              <w:top w:val="single" w:color="000000" w:sz="4" w:space="0"/>
              <w:left w:val="single" w:color="auto" w:sz="4" w:space="0"/>
              <w:bottom w:val="single" w:color="000000" w:sz="4" w:space="0"/>
              <w:right w:val="single" w:color="auto" w:sz="4" w:space="0"/>
            </w:tcBorders>
            <w:vAlign w:val="center"/>
          </w:tcPr>
          <w:p>
            <w:pPr>
              <w:spacing w:line="240" w:lineRule="auto"/>
              <w:ind w:firstLine="0" w:firstLineChars="0"/>
              <w:jc w:val="center"/>
              <w:rPr>
                <w:rFonts w:ascii="宋体"/>
                <w:sz w:val="18"/>
                <w:szCs w:val="18"/>
              </w:rPr>
            </w:pPr>
            <w:r>
              <w:rPr>
                <w:rFonts w:hint="eastAsia" w:ascii="宋体" w:hAnsi="宋体" w:cs="宋体"/>
                <w:sz w:val="18"/>
                <w:szCs w:val="18"/>
              </w:rPr>
              <w:t>项目名称</w:t>
            </w:r>
          </w:p>
        </w:tc>
        <w:tc>
          <w:tcPr>
            <w:tcW w:w="2230" w:type="dxa"/>
            <w:gridSpan w:val="4"/>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rPr>
                <w:rFonts w:ascii="宋体"/>
                <w:sz w:val="18"/>
                <w:szCs w:val="18"/>
              </w:rPr>
            </w:pPr>
          </w:p>
        </w:tc>
        <w:tc>
          <w:tcPr>
            <w:tcW w:w="756" w:type="dxa"/>
            <w:gridSpan w:val="3"/>
            <w:tcBorders>
              <w:top w:val="single" w:color="000000" w:sz="4" w:space="0"/>
              <w:left w:val="single" w:color="auto" w:sz="4" w:space="0"/>
              <w:bottom w:val="single" w:color="000000" w:sz="4" w:space="0"/>
              <w:right w:val="single" w:color="auto" w:sz="2" w:space="0"/>
            </w:tcBorders>
            <w:vAlign w:val="center"/>
          </w:tcPr>
          <w:p>
            <w:pPr>
              <w:spacing w:line="240" w:lineRule="auto"/>
              <w:ind w:firstLine="0" w:firstLineChars="0"/>
              <w:jc w:val="center"/>
              <w:rPr>
                <w:rFonts w:ascii="宋体"/>
                <w:sz w:val="18"/>
                <w:szCs w:val="18"/>
              </w:rPr>
            </w:pPr>
            <w:r>
              <w:rPr>
                <w:rFonts w:hint="eastAsia" w:ascii="宋体" w:hAnsi="宋体" w:cs="宋体"/>
                <w:sz w:val="18"/>
                <w:szCs w:val="18"/>
              </w:rPr>
              <w:t>计量单位</w:t>
            </w:r>
          </w:p>
        </w:tc>
        <w:tc>
          <w:tcPr>
            <w:tcW w:w="835" w:type="dxa"/>
            <w:gridSpan w:val="2"/>
            <w:tcBorders>
              <w:top w:val="single" w:color="000000" w:sz="4" w:space="0"/>
              <w:left w:val="single" w:color="auto" w:sz="4" w:space="0"/>
              <w:bottom w:val="single" w:color="000000" w:sz="4" w:space="0"/>
              <w:right w:val="single" w:color="auto" w:sz="2" w:space="0"/>
            </w:tcBorders>
            <w:vAlign w:val="center"/>
          </w:tcPr>
          <w:p>
            <w:pPr>
              <w:spacing w:line="240" w:lineRule="auto"/>
              <w:ind w:firstLine="0" w:firstLineChars="0"/>
              <w:jc w:val="center"/>
              <w:rPr>
                <w:rFonts w:ascii="宋体"/>
                <w:sz w:val="18"/>
                <w:szCs w:val="18"/>
              </w:rPr>
            </w:pPr>
          </w:p>
        </w:tc>
        <w:tc>
          <w:tcPr>
            <w:tcW w:w="737" w:type="dxa"/>
            <w:gridSpan w:val="3"/>
            <w:tcBorders>
              <w:top w:val="single" w:color="000000" w:sz="4" w:space="0"/>
              <w:left w:val="single" w:color="auto" w:sz="2" w:space="0"/>
              <w:bottom w:val="single" w:color="000000" w:sz="4" w:space="0"/>
              <w:right w:val="single" w:color="auto" w:sz="4" w:space="0"/>
            </w:tcBorders>
            <w:vAlign w:val="center"/>
          </w:tcPr>
          <w:p>
            <w:pPr>
              <w:spacing w:line="240" w:lineRule="auto"/>
              <w:ind w:firstLine="0" w:firstLineChars="0"/>
              <w:jc w:val="center"/>
              <w:rPr>
                <w:rFonts w:ascii="宋体"/>
              </w:rPr>
            </w:pPr>
            <w:r>
              <w:rPr>
                <w:rFonts w:hint="eastAsia" w:ascii="宋体" w:hAnsi="宋体" w:cs="宋体"/>
                <w:sz w:val="18"/>
                <w:szCs w:val="18"/>
              </w:rPr>
              <w:t>工程量</w:t>
            </w:r>
          </w:p>
        </w:tc>
        <w:tc>
          <w:tcPr>
            <w:tcW w:w="988"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blPrEx>
          <w:tblCellMar>
            <w:top w:w="0" w:type="dxa"/>
            <w:left w:w="0" w:type="dxa"/>
            <w:bottom w:w="0" w:type="dxa"/>
            <w:right w:w="0" w:type="dxa"/>
          </w:tblCellMar>
        </w:tblPrEx>
        <w:trPr>
          <w:trHeight w:val="555" w:hRule="exact"/>
          <w:jc w:val="center"/>
        </w:trPr>
        <w:tc>
          <w:tcPr>
            <w:tcW w:w="8955" w:type="dxa"/>
            <w:gridSpan w:val="23"/>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清单综合单价组成明细</w:t>
            </w:r>
          </w:p>
        </w:tc>
      </w:tr>
      <w:tr>
        <w:tblPrEx>
          <w:tblCellMar>
            <w:top w:w="0" w:type="dxa"/>
            <w:left w:w="0" w:type="dxa"/>
            <w:bottom w:w="0" w:type="dxa"/>
            <w:right w:w="0" w:type="dxa"/>
          </w:tblCellMar>
        </w:tblPrEx>
        <w:trPr>
          <w:trHeight w:val="557" w:hRule="exact"/>
          <w:jc w:val="center"/>
        </w:trPr>
        <w:tc>
          <w:tcPr>
            <w:tcW w:w="541" w:type="dxa"/>
            <w:vMerge w:val="restart"/>
            <w:tcBorders>
              <w:top w:val="single" w:color="000000" w:sz="4" w:space="0"/>
              <w:left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rPr>
              <w:t>定额</w:t>
            </w:r>
          </w:p>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编号</w:t>
            </w:r>
          </w:p>
        </w:tc>
        <w:tc>
          <w:tcPr>
            <w:tcW w:w="902" w:type="dxa"/>
            <w:gridSpan w:val="3"/>
            <w:vMerge w:val="restart"/>
            <w:tcBorders>
              <w:top w:val="single" w:color="000000" w:sz="4" w:space="0"/>
              <w:left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rPr>
              <w:t>定额</w:t>
            </w:r>
            <w:r>
              <w:rPr>
                <w:rFonts w:hint="eastAsia" w:ascii="宋体" w:hAnsi="宋体" w:cs="宋体"/>
                <w:sz w:val="18"/>
                <w:szCs w:val="18"/>
                <w:lang w:eastAsia="zh-CN"/>
              </w:rPr>
              <w:t>项目</w:t>
            </w:r>
          </w:p>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名称</w:t>
            </w:r>
          </w:p>
        </w:tc>
        <w:tc>
          <w:tcPr>
            <w:tcW w:w="541" w:type="dxa"/>
            <w:vMerge w:val="restart"/>
            <w:tcBorders>
              <w:top w:val="single" w:color="000000" w:sz="4" w:space="0"/>
              <w:left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rPr>
              <w:t>定额</w:t>
            </w:r>
          </w:p>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单位</w:t>
            </w:r>
          </w:p>
        </w:tc>
        <w:tc>
          <w:tcPr>
            <w:tcW w:w="585" w:type="dxa"/>
            <w:gridSpan w:val="2"/>
            <w:vMerge w:val="restart"/>
            <w:tcBorders>
              <w:top w:val="single" w:color="000000" w:sz="4" w:space="0"/>
              <w:left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数量</w:t>
            </w:r>
          </w:p>
        </w:tc>
        <w:tc>
          <w:tcPr>
            <w:tcW w:w="3083" w:type="dxa"/>
            <w:gridSpan w:val="7"/>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单价</w:t>
            </w:r>
          </w:p>
        </w:tc>
        <w:tc>
          <w:tcPr>
            <w:tcW w:w="3303" w:type="dxa"/>
            <w:gridSpan w:val="9"/>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合价</w:t>
            </w:r>
          </w:p>
        </w:tc>
      </w:tr>
      <w:tr>
        <w:tblPrEx>
          <w:tblCellMar>
            <w:top w:w="0" w:type="dxa"/>
            <w:left w:w="0" w:type="dxa"/>
            <w:bottom w:w="0" w:type="dxa"/>
            <w:right w:w="0" w:type="dxa"/>
          </w:tblCellMar>
        </w:tblPrEx>
        <w:trPr>
          <w:trHeight w:val="780" w:hRule="exact"/>
          <w:jc w:val="center"/>
        </w:trPr>
        <w:tc>
          <w:tcPr>
            <w:tcW w:w="541" w:type="dxa"/>
            <w:vMerge w:val="continue"/>
            <w:tcBorders>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902" w:type="dxa"/>
            <w:gridSpan w:val="3"/>
            <w:vMerge w:val="continue"/>
            <w:tcBorders>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41" w:type="dxa"/>
            <w:vMerge w:val="continue"/>
            <w:tcBorders>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85" w:type="dxa"/>
            <w:gridSpan w:val="2"/>
            <w:vMerge w:val="continue"/>
            <w:tcBorders>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人工费</w:t>
            </w:r>
          </w:p>
        </w:tc>
        <w:tc>
          <w:tcPr>
            <w:tcW w:w="605" w:type="dxa"/>
            <w:gridSpan w:val="2"/>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材料费</w:t>
            </w:r>
          </w:p>
        </w:tc>
        <w:tc>
          <w:tcPr>
            <w:tcW w:w="63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机械费</w:t>
            </w:r>
          </w:p>
        </w:tc>
        <w:tc>
          <w:tcPr>
            <w:tcW w:w="664" w:type="dxa"/>
            <w:tcBorders>
              <w:top w:val="single" w:color="000000" w:sz="4" w:space="0"/>
              <w:left w:val="single" w:color="000000" w:sz="4" w:space="0"/>
              <w:bottom w:val="single" w:color="000000" w:sz="4" w:space="0"/>
              <w:right w:val="single" w:color="auto" w:sz="4" w:space="0"/>
            </w:tcBorders>
            <w:vAlign w:val="center"/>
          </w:tcPr>
          <w:p>
            <w:pPr>
              <w:pStyle w:val="49"/>
              <w:spacing w:line="240" w:lineRule="auto"/>
              <w:ind w:firstLine="0" w:firstLineChars="0"/>
              <w:jc w:val="center"/>
              <w:rPr>
                <w:rFonts w:ascii="宋体" w:hAnsi="宋体" w:cs="宋体"/>
                <w:sz w:val="18"/>
                <w:szCs w:val="18"/>
              </w:rPr>
            </w:pPr>
            <w:r>
              <w:rPr>
                <w:rFonts w:hint="eastAsia" w:ascii="宋体" w:hAnsi="宋体" w:cs="宋体"/>
                <w:sz w:val="18"/>
                <w:szCs w:val="18"/>
              </w:rPr>
              <w:t>管理费</w:t>
            </w:r>
          </w:p>
        </w:tc>
        <w:tc>
          <w:tcPr>
            <w:tcW w:w="543" w:type="dxa"/>
            <w:gridSpan w:val="2"/>
            <w:tcBorders>
              <w:top w:val="single" w:color="000000" w:sz="4" w:space="0"/>
              <w:left w:val="single" w:color="auto"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rPr>
            </w:pPr>
            <w:r>
              <w:rPr>
                <w:rFonts w:hint="eastAsia" w:ascii="宋体" w:hAnsi="宋体" w:cs="宋体"/>
                <w:sz w:val="18"/>
                <w:szCs w:val="18"/>
              </w:rPr>
              <w:t>利润</w:t>
            </w:r>
          </w:p>
        </w:tc>
        <w:tc>
          <w:tcPr>
            <w:tcW w:w="60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人工费</w:t>
            </w: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材料费</w:t>
            </w: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机械费</w:t>
            </w: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管理费</w:t>
            </w:r>
          </w:p>
        </w:tc>
        <w:tc>
          <w:tcPr>
            <w:tcW w:w="677" w:type="dxa"/>
            <w:tcBorders>
              <w:top w:val="single" w:color="000000" w:sz="4" w:space="0"/>
              <w:left w:val="single" w:color="auto"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rPr>
            </w:pPr>
            <w:r>
              <w:rPr>
                <w:rFonts w:hint="eastAsia" w:ascii="宋体" w:hAnsi="宋体" w:cs="宋体"/>
                <w:sz w:val="18"/>
                <w:szCs w:val="18"/>
              </w:rPr>
              <w:t>利润</w:t>
            </w:r>
          </w:p>
        </w:tc>
      </w:tr>
      <w:tr>
        <w:trPr>
          <w:trHeight w:val="502" w:hRule="exact"/>
          <w:jc w:val="center"/>
        </w:trPr>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902"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8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64" w:type="dxa"/>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543"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677" w:type="dxa"/>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902"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8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64" w:type="dxa"/>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543"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677" w:type="dxa"/>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0" w:hRule="exact"/>
          <w:jc w:val="center"/>
        </w:trPr>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902"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8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64" w:type="dxa"/>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543"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677" w:type="dxa"/>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902"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8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64" w:type="dxa"/>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543"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677" w:type="dxa"/>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902"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4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58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64" w:type="dxa"/>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543"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677" w:type="dxa"/>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0" w:hRule="exact"/>
          <w:jc w:val="center"/>
        </w:trPr>
        <w:tc>
          <w:tcPr>
            <w:tcW w:w="1443" w:type="dxa"/>
            <w:gridSpan w:val="4"/>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综合人工工日</w:t>
            </w:r>
          </w:p>
        </w:tc>
        <w:tc>
          <w:tcPr>
            <w:tcW w:w="4209" w:type="dxa"/>
            <w:gridSpan w:val="10"/>
            <w:tcBorders>
              <w:top w:val="single" w:color="000000" w:sz="4" w:space="0"/>
              <w:left w:val="single" w:color="000000" w:sz="4" w:space="0"/>
              <w:bottom w:val="single" w:color="000000" w:sz="4" w:space="0"/>
              <w:right w:val="single" w:color="000000" w:sz="4" w:space="0"/>
            </w:tcBorders>
            <w:vAlign w:val="center"/>
          </w:tcPr>
          <w:p>
            <w:pPr>
              <w:pStyle w:val="49"/>
              <w:tabs>
                <w:tab w:val="left" w:pos="542"/>
              </w:tabs>
              <w:spacing w:line="240" w:lineRule="auto"/>
              <w:ind w:firstLine="0" w:firstLineChars="0"/>
              <w:jc w:val="center"/>
              <w:rPr>
                <w:rFonts w:ascii="宋体" w:cs="Times New Roman"/>
                <w:sz w:val="18"/>
                <w:szCs w:val="18"/>
              </w:rPr>
            </w:pPr>
            <w:r>
              <w:rPr>
                <w:rFonts w:hint="eastAsia" w:ascii="宋体" w:hAnsi="宋体" w:cs="宋体"/>
                <w:sz w:val="18"/>
                <w:szCs w:val="18"/>
              </w:rPr>
              <w:t>小</w:t>
            </w:r>
            <w:r>
              <w:rPr>
                <w:rFonts w:ascii="宋体" w:cs="Times New Roman"/>
                <w:sz w:val="18"/>
                <w:szCs w:val="18"/>
              </w:rPr>
              <w:tab/>
            </w:r>
            <w:r>
              <w:rPr>
                <w:rFonts w:hint="eastAsia" w:ascii="宋体" w:hAnsi="宋体" w:cs="宋体"/>
                <w:sz w:val="18"/>
                <w:szCs w:val="18"/>
              </w:rPr>
              <w:t>计</w:t>
            </w: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8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41" w:type="dxa"/>
            <w:gridSpan w:val="3"/>
            <w:tcBorders>
              <w:top w:val="single" w:color="000000" w:sz="4" w:space="0"/>
              <w:left w:val="single" w:color="000000" w:sz="4" w:space="0"/>
              <w:bottom w:val="single" w:color="000000" w:sz="4" w:space="0"/>
              <w:right w:val="single" w:color="auto" w:sz="4" w:space="0"/>
            </w:tcBorders>
            <w:vAlign w:val="center"/>
          </w:tcPr>
          <w:p>
            <w:pPr>
              <w:spacing w:line="240" w:lineRule="auto"/>
              <w:ind w:firstLine="0" w:firstLineChars="0"/>
              <w:jc w:val="center"/>
              <w:rPr>
                <w:rFonts w:ascii="宋体"/>
              </w:rPr>
            </w:pPr>
          </w:p>
        </w:tc>
        <w:tc>
          <w:tcPr>
            <w:tcW w:w="677" w:type="dxa"/>
            <w:tcBorders>
              <w:top w:val="single" w:color="000000" w:sz="4" w:space="0"/>
              <w:left w:val="single" w:color="auto"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1443" w:type="dxa"/>
            <w:gridSpan w:val="4"/>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right"/>
              <w:rPr>
                <w:rFonts w:ascii="宋体" w:cs="Times New Roman"/>
                <w:sz w:val="18"/>
                <w:szCs w:val="18"/>
              </w:rPr>
            </w:pPr>
            <w:r>
              <w:rPr>
                <w:rFonts w:hint="eastAsia" w:ascii="宋体" w:hAnsi="宋体" w:cs="宋体"/>
                <w:sz w:val="18"/>
                <w:szCs w:val="18"/>
              </w:rPr>
              <w:t>工日</w:t>
            </w:r>
          </w:p>
        </w:tc>
        <w:tc>
          <w:tcPr>
            <w:tcW w:w="4209" w:type="dxa"/>
            <w:gridSpan w:val="10"/>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未计价材料费</w:t>
            </w:r>
          </w:p>
        </w:tc>
        <w:tc>
          <w:tcPr>
            <w:tcW w:w="3303" w:type="dxa"/>
            <w:gridSpan w:val="9"/>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5652" w:type="dxa"/>
            <w:gridSpan w:val="14"/>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清单项目综合单价</w:t>
            </w:r>
          </w:p>
        </w:tc>
        <w:tc>
          <w:tcPr>
            <w:tcW w:w="3303" w:type="dxa"/>
            <w:gridSpan w:val="9"/>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780" w:hRule="exact"/>
          <w:jc w:val="center"/>
        </w:trPr>
        <w:tc>
          <w:tcPr>
            <w:tcW w:w="721" w:type="dxa"/>
            <w:gridSpan w:val="2"/>
            <w:vMerge w:val="restart"/>
            <w:tcBorders>
              <w:top w:val="single" w:color="000000" w:sz="4" w:space="0"/>
              <w:left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材料费明细</w:t>
            </w:r>
          </w:p>
        </w:tc>
        <w:tc>
          <w:tcPr>
            <w:tcW w:w="3093" w:type="dxa"/>
            <w:gridSpan w:val="8"/>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主要材料名称、规格、型号</w:t>
            </w:r>
          </w:p>
        </w:tc>
        <w:tc>
          <w:tcPr>
            <w:tcW w:w="63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单位</w:t>
            </w:r>
          </w:p>
        </w:tc>
        <w:tc>
          <w:tcPr>
            <w:tcW w:w="1207" w:type="dxa"/>
            <w:gridSpan w:val="3"/>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数量</w:t>
            </w:r>
          </w:p>
        </w:tc>
        <w:tc>
          <w:tcPr>
            <w:tcW w:w="60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单价（元）</w:t>
            </w: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合价（元）</w:t>
            </w: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暂估单价</w:t>
            </w:r>
            <w:r>
              <w:rPr>
                <w:rFonts w:ascii="宋体" w:hAnsi="宋体" w:cs="宋体"/>
                <w:spacing w:val="1"/>
                <w:sz w:val="18"/>
                <w:szCs w:val="18"/>
              </w:rPr>
              <w:t>(</w:t>
            </w:r>
            <w:r>
              <w:rPr>
                <w:rFonts w:hint="eastAsia" w:ascii="宋体" w:hAnsi="宋体" w:cs="宋体"/>
                <w:sz w:val="18"/>
                <w:szCs w:val="18"/>
              </w:rPr>
              <w:t>元</w:t>
            </w:r>
            <w:r>
              <w:rPr>
                <w:rFonts w:ascii="宋体" w:hAnsi="宋体" w:cs="宋体"/>
                <w:sz w:val="18"/>
                <w:szCs w:val="18"/>
              </w:rPr>
              <w:t>)</w:t>
            </w: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暂估合价（元）</w:t>
            </w:r>
          </w:p>
        </w:tc>
      </w:tr>
      <w:tr>
        <w:trPr>
          <w:trHeight w:val="502" w:hRule="exact"/>
          <w:jc w:val="center"/>
        </w:trPr>
        <w:tc>
          <w:tcPr>
            <w:tcW w:w="721" w:type="dxa"/>
            <w:gridSpan w:val="2"/>
            <w:vMerge w:val="continue"/>
            <w:tcBorders>
              <w:left w:val="single" w:color="000000" w:sz="4" w:space="0"/>
              <w:right w:val="single" w:color="000000" w:sz="4" w:space="0"/>
            </w:tcBorders>
            <w:vAlign w:val="center"/>
          </w:tcPr>
          <w:p>
            <w:pPr>
              <w:spacing w:line="240" w:lineRule="auto"/>
              <w:ind w:firstLine="0" w:firstLineChars="0"/>
              <w:jc w:val="center"/>
              <w:rPr>
                <w:rFonts w:ascii="宋体"/>
              </w:rPr>
            </w:pPr>
          </w:p>
        </w:tc>
        <w:tc>
          <w:tcPr>
            <w:tcW w:w="3093"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07"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blPrEx>
          <w:tblCellMar>
            <w:top w:w="0" w:type="dxa"/>
            <w:left w:w="0" w:type="dxa"/>
            <w:bottom w:w="0" w:type="dxa"/>
            <w:right w:w="0" w:type="dxa"/>
          </w:tblCellMar>
        </w:tblPrEx>
        <w:trPr>
          <w:trHeight w:val="502" w:hRule="exact"/>
          <w:jc w:val="center"/>
        </w:trPr>
        <w:tc>
          <w:tcPr>
            <w:tcW w:w="721" w:type="dxa"/>
            <w:gridSpan w:val="2"/>
            <w:vMerge w:val="continue"/>
            <w:tcBorders>
              <w:left w:val="single" w:color="000000" w:sz="4" w:space="0"/>
              <w:right w:val="single" w:color="000000" w:sz="4" w:space="0"/>
            </w:tcBorders>
            <w:vAlign w:val="center"/>
          </w:tcPr>
          <w:p>
            <w:pPr>
              <w:spacing w:line="240" w:lineRule="auto"/>
              <w:ind w:firstLine="0" w:firstLineChars="0"/>
              <w:jc w:val="center"/>
              <w:rPr>
                <w:rFonts w:ascii="宋体"/>
              </w:rPr>
            </w:pPr>
          </w:p>
        </w:tc>
        <w:tc>
          <w:tcPr>
            <w:tcW w:w="3093"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07"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0" w:hRule="exact"/>
          <w:jc w:val="center"/>
        </w:trPr>
        <w:tc>
          <w:tcPr>
            <w:tcW w:w="721" w:type="dxa"/>
            <w:gridSpan w:val="2"/>
            <w:vMerge w:val="continue"/>
            <w:tcBorders>
              <w:left w:val="single" w:color="000000" w:sz="4" w:space="0"/>
              <w:right w:val="single" w:color="000000" w:sz="4" w:space="0"/>
            </w:tcBorders>
            <w:vAlign w:val="center"/>
          </w:tcPr>
          <w:p>
            <w:pPr>
              <w:spacing w:line="240" w:lineRule="auto"/>
              <w:ind w:firstLine="0" w:firstLineChars="0"/>
              <w:jc w:val="center"/>
              <w:rPr>
                <w:rFonts w:ascii="宋体"/>
              </w:rPr>
            </w:pPr>
          </w:p>
        </w:tc>
        <w:tc>
          <w:tcPr>
            <w:tcW w:w="3093"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07"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721" w:type="dxa"/>
            <w:gridSpan w:val="2"/>
            <w:vMerge w:val="continue"/>
            <w:tcBorders>
              <w:left w:val="single" w:color="000000" w:sz="4" w:space="0"/>
              <w:right w:val="single" w:color="000000" w:sz="4" w:space="0"/>
            </w:tcBorders>
            <w:vAlign w:val="center"/>
          </w:tcPr>
          <w:p>
            <w:pPr>
              <w:spacing w:line="240" w:lineRule="auto"/>
              <w:ind w:firstLine="0" w:firstLineChars="0"/>
              <w:jc w:val="center"/>
              <w:rPr>
                <w:rFonts w:ascii="宋体"/>
              </w:rPr>
            </w:pPr>
          </w:p>
        </w:tc>
        <w:tc>
          <w:tcPr>
            <w:tcW w:w="3093"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07"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0" w:hRule="exact"/>
          <w:jc w:val="center"/>
        </w:trPr>
        <w:tc>
          <w:tcPr>
            <w:tcW w:w="721" w:type="dxa"/>
            <w:gridSpan w:val="2"/>
            <w:vMerge w:val="continue"/>
            <w:tcBorders>
              <w:left w:val="single" w:color="000000" w:sz="4" w:space="0"/>
              <w:right w:val="single" w:color="000000" w:sz="4" w:space="0"/>
            </w:tcBorders>
            <w:vAlign w:val="center"/>
          </w:tcPr>
          <w:p>
            <w:pPr>
              <w:spacing w:line="240" w:lineRule="auto"/>
              <w:ind w:firstLine="0" w:firstLineChars="0"/>
              <w:jc w:val="center"/>
              <w:rPr>
                <w:rFonts w:ascii="宋体"/>
              </w:rPr>
            </w:pPr>
          </w:p>
        </w:tc>
        <w:tc>
          <w:tcPr>
            <w:tcW w:w="3093" w:type="dxa"/>
            <w:gridSpan w:val="8"/>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3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07"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0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2" w:hRule="exact"/>
          <w:jc w:val="center"/>
        </w:trPr>
        <w:tc>
          <w:tcPr>
            <w:tcW w:w="721" w:type="dxa"/>
            <w:gridSpan w:val="2"/>
            <w:vMerge w:val="continue"/>
            <w:tcBorders>
              <w:left w:val="single" w:color="000000" w:sz="4" w:space="0"/>
              <w:right w:val="single" w:color="000000" w:sz="4" w:space="0"/>
            </w:tcBorders>
            <w:vAlign w:val="center"/>
          </w:tcPr>
          <w:p>
            <w:pPr>
              <w:spacing w:line="240" w:lineRule="auto"/>
              <w:ind w:firstLine="0" w:firstLineChars="0"/>
              <w:jc w:val="center"/>
              <w:rPr>
                <w:rFonts w:ascii="宋体"/>
              </w:rPr>
            </w:pPr>
          </w:p>
        </w:tc>
        <w:tc>
          <w:tcPr>
            <w:tcW w:w="4931" w:type="dxa"/>
            <w:gridSpan w:val="12"/>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其他材料费</w:t>
            </w:r>
          </w:p>
        </w:tc>
        <w:tc>
          <w:tcPr>
            <w:tcW w:w="60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宋体"/>
                <w:sz w:val="18"/>
                <w:szCs w:val="18"/>
                <w:lang w:eastAsia="zh-CN"/>
              </w:rPr>
            </w:pPr>
            <w:r>
              <w:rPr>
                <w:rFonts w:hint="eastAsia" w:ascii="宋体" w:cs="宋体"/>
                <w:sz w:val="18"/>
                <w:szCs w:val="18"/>
                <w:lang w:eastAsia="zh-CN"/>
              </w:rPr>
              <w:t>—</w:t>
            </w:r>
          </w:p>
        </w:tc>
        <w:tc>
          <w:tcPr>
            <w:tcW w:w="695"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宋体"/>
                <w:sz w:val="18"/>
                <w:szCs w:val="18"/>
                <w:lang w:eastAsia="zh-CN"/>
              </w:rPr>
            </w:pPr>
            <w:r>
              <w:rPr>
                <w:rFonts w:hint="eastAsia" w:ascii="宋体" w:cs="宋体"/>
                <w:sz w:val="18"/>
                <w:szCs w:val="18"/>
                <w:lang w:eastAsia="zh-CN"/>
              </w:rPr>
              <w:t>—</w:t>
            </w:r>
          </w:p>
        </w:tc>
        <w:tc>
          <w:tcPr>
            <w:tcW w:w="1231"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ascii="宋体"/>
              </w:rPr>
            </w:pPr>
          </w:p>
        </w:tc>
      </w:tr>
      <w:tr>
        <w:trPr>
          <w:trHeight w:val="507" w:hRule="exact"/>
          <w:jc w:val="center"/>
        </w:trPr>
        <w:tc>
          <w:tcPr>
            <w:tcW w:w="721" w:type="dxa"/>
            <w:gridSpan w:val="2"/>
            <w:vMerge w:val="continue"/>
            <w:tcBorders>
              <w:left w:val="single" w:color="000000" w:sz="4" w:space="0"/>
              <w:bottom w:val="single" w:color="auto" w:sz="2" w:space="0"/>
              <w:right w:val="single" w:color="000000" w:sz="4" w:space="0"/>
            </w:tcBorders>
            <w:vAlign w:val="center"/>
          </w:tcPr>
          <w:p>
            <w:pPr>
              <w:spacing w:line="240" w:lineRule="auto"/>
              <w:ind w:firstLine="0" w:firstLineChars="0"/>
              <w:jc w:val="center"/>
              <w:rPr>
                <w:rFonts w:ascii="宋体"/>
              </w:rPr>
            </w:pPr>
          </w:p>
        </w:tc>
        <w:tc>
          <w:tcPr>
            <w:tcW w:w="4931" w:type="dxa"/>
            <w:gridSpan w:val="12"/>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jc w:val="center"/>
              <w:rPr>
                <w:rFonts w:ascii="宋体" w:cs="Times New Roman"/>
                <w:sz w:val="18"/>
                <w:szCs w:val="18"/>
              </w:rPr>
            </w:pPr>
            <w:r>
              <w:rPr>
                <w:rFonts w:hint="eastAsia" w:ascii="宋体" w:hAnsi="宋体" w:cs="宋体"/>
                <w:sz w:val="18"/>
                <w:szCs w:val="18"/>
              </w:rPr>
              <w:t>材料费小计</w:t>
            </w:r>
          </w:p>
        </w:tc>
        <w:tc>
          <w:tcPr>
            <w:tcW w:w="601"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jc w:val="center"/>
              <w:rPr>
                <w:rFonts w:ascii="宋体" w:cs="宋体"/>
                <w:sz w:val="18"/>
                <w:szCs w:val="18"/>
                <w:lang w:eastAsia="zh-CN"/>
              </w:rPr>
            </w:pPr>
            <w:r>
              <w:rPr>
                <w:rFonts w:hint="eastAsia" w:ascii="宋体" w:cs="宋体"/>
                <w:sz w:val="18"/>
                <w:szCs w:val="18"/>
                <w:lang w:eastAsia="zh-CN"/>
              </w:rPr>
              <w:t>—</w:t>
            </w:r>
          </w:p>
        </w:tc>
        <w:tc>
          <w:tcPr>
            <w:tcW w:w="695" w:type="dxa"/>
            <w:gridSpan w:val="2"/>
            <w:tcBorders>
              <w:top w:val="single" w:color="000000" w:sz="4" w:space="0"/>
              <w:left w:val="single" w:color="000000" w:sz="4" w:space="0"/>
              <w:bottom w:val="single" w:color="auto" w:sz="2" w:space="0"/>
              <w:right w:val="single" w:color="000000" w:sz="4" w:space="0"/>
            </w:tcBorders>
            <w:vAlign w:val="center"/>
          </w:tcPr>
          <w:p>
            <w:pPr>
              <w:spacing w:line="240" w:lineRule="auto"/>
              <w:ind w:firstLine="0" w:firstLineChars="0"/>
              <w:jc w:val="center"/>
              <w:rPr>
                <w:rFonts w:ascii="宋体"/>
              </w:rPr>
            </w:pPr>
          </w:p>
        </w:tc>
        <w:tc>
          <w:tcPr>
            <w:tcW w:w="776" w:type="dxa"/>
            <w:gridSpan w:val="3"/>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jc w:val="center"/>
              <w:rPr>
                <w:rFonts w:ascii="宋体" w:cs="宋体"/>
                <w:sz w:val="18"/>
                <w:szCs w:val="18"/>
                <w:lang w:eastAsia="zh-CN"/>
              </w:rPr>
            </w:pPr>
            <w:r>
              <w:rPr>
                <w:rFonts w:hint="eastAsia" w:ascii="宋体" w:cs="宋体"/>
                <w:sz w:val="18"/>
                <w:szCs w:val="18"/>
                <w:lang w:eastAsia="zh-CN"/>
              </w:rPr>
              <w:t>—</w:t>
            </w:r>
          </w:p>
        </w:tc>
        <w:tc>
          <w:tcPr>
            <w:tcW w:w="1231" w:type="dxa"/>
            <w:gridSpan w:val="3"/>
            <w:tcBorders>
              <w:top w:val="single" w:color="000000" w:sz="4" w:space="0"/>
              <w:left w:val="single" w:color="000000" w:sz="4" w:space="0"/>
              <w:bottom w:val="single" w:color="auto" w:sz="2" w:space="0"/>
              <w:right w:val="single" w:color="000000" w:sz="4" w:space="0"/>
            </w:tcBorders>
            <w:vAlign w:val="center"/>
          </w:tcPr>
          <w:p>
            <w:pPr>
              <w:spacing w:line="240" w:lineRule="auto"/>
              <w:ind w:firstLine="0" w:firstLineChars="0"/>
              <w:jc w:val="center"/>
              <w:rPr>
                <w:rFonts w:ascii="宋体"/>
              </w:rPr>
            </w:pPr>
          </w:p>
        </w:tc>
      </w:tr>
    </w:tbl>
    <w:p>
      <w:pPr>
        <w:spacing w:line="240" w:lineRule="auto"/>
        <w:ind w:firstLine="480"/>
        <w:rPr>
          <w:rFonts w:ascii="宋体"/>
          <w:sz w:val="24"/>
          <w:szCs w:val="24"/>
        </w:rPr>
      </w:pPr>
      <w:r>
        <w:rPr>
          <w:rFonts w:hint="eastAsia" w:ascii="宋体" w:hAnsi="宋体" w:cs="宋体"/>
          <w:sz w:val="24"/>
          <w:szCs w:val="24"/>
        </w:rPr>
        <w:t>注：</w:t>
      </w:r>
      <w:r>
        <w:rPr>
          <w:rFonts w:ascii="宋体" w:hAnsi="宋体" w:cs="宋体"/>
          <w:spacing w:val="1"/>
          <w:sz w:val="24"/>
          <w:szCs w:val="24"/>
        </w:rPr>
        <w:t>1</w:t>
      </w:r>
      <w:r>
        <w:rPr>
          <w:rFonts w:hint="eastAsia" w:ascii="宋体" w:hAnsi="宋体" w:cs="宋体"/>
          <w:sz w:val="24"/>
          <w:szCs w:val="24"/>
        </w:rPr>
        <w:t>如不使用省级或行业</w:t>
      </w:r>
      <w:r>
        <w:rPr>
          <w:rFonts w:hint="eastAsia" w:ascii="宋体" w:hAnsi="宋体" w:cs="宋体"/>
          <w:spacing w:val="-3"/>
          <w:sz w:val="24"/>
          <w:szCs w:val="24"/>
        </w:rPr>
        <w:t>建</w:t>
      </w:r>
      <w:r>
        <w:rPr>
          <w:rFonts w:hint="eastAsia" w:ascii="宋体" w:hAnsi="宋体" w:cs="宋体"/>
          <w:sz w:val="24"/>
          <w:szCs w:val="24"/>
        </w:rPr>
        <w:t>设主管部门发布的计价依据，可不填定额编号、名称等。</w:t>
      </w:r>
    </w:p>
    <w:p>
      <w:pPr>
        <w:spacing w:line="240" w:lineRule="auto"/>
        <w:ind w:firstLine="471" w:firstLineChars="195"/>
        <w:rPr>
          <w:rFonts w:ascii="宋体"/>
          <w:sz w:val="24"/>
          <w:szCs w:val="24"/>
        </w:rPr>
      </w:pPr>
      <w:r>
        <w:rPr>
          <w:rFonts w:ascii="宋体" w:hAnsi="宋体" w:cs="宋体"/>
          <w:spacing w:val="1"/>
          <w:sz w:val="24"/>
          <w:szCs w:val="24"/>
        </w:rPr>
        <w:t>2</w:t>
      </w:r>
      <w:r>
        <w:rPr>
          <w:rFonts w:hint="eastAsia" w:ascii="宋体" w:hAnsi="宋体" w:cs="宋体"/>
          <w:sz w:val="24"/>
          <w:szCs w:val="24"/>
        </w:rPr>
        <w:t>招标文件提供了暂估单价</w:t>
      </w:r>
      <w:r>
        <w:rPr>
          <w:rFonts w:hint="eastAsia" w:ascii="宋体" w:hAnsi="宋体" w:cs="宋体"/>
          <w:spacing w:val="-3"/>
          <w:sz w:val="24"/>
          <w:szCs w:val="24"/>
        </w:rPr>
        <w:t>的</w:t>
      </w:r>
      <w:r>
        <w:rPr>
          <w:rFonts w:hint="eastAsia" w:ascii="宋体" w:hAnsi="宋体" w:cs="宋体"/>
          <w:sz w:val="24"/>
          <w:szCs w:val="24"/>
        </w:rPr>
        <w:t>材料，按暂估的单价填入表内</w:t>
      </w:r>
      <w:r>
        <w:rPr>
          <w:rFonts w:hint="eastAsia" w:ascii="宋体" w:cs="宋体"/>
          <w:sz w:val="24"/>
          <w:szCs w:val="24"/>
        </w:rPr>
        <w:t>“</w:t>
      </w:r>
      <w:r>
        <w:rPr>
          <w:rFonts w:hint="eastAsia" w:ascii="宋体" w:hAnsi="宋体" w:cs="宋体"/>
          <w:sz w:val="24"/>
          <w:szCs w:val="24"/>
        </w:rPr>
        <w:t>暂估单价</w:t>
      </w:r>
      <w:r>
        <w:rPr>
          <w:rFonts w:hint="eastAsia" w:ascii="宋体" w:cs="宋体"/>
          <w:sz w:val="24"/>
          <w:szCs w:val="24"/>
        </w:rPr>
        <w:t>”</w:t>
      </w:r>
      <w:r>
        <w:rPr>
          <w:rFonts w:hint="eastAsia" w:ascii="宋体" w:hAnsi="宋体" w:cs="宋体"/>
          <w:sz w:val="24"/>
          <w:szCs w:val="24"/>
        </w:rPr>
        <w:t>栏及</w:t>
      </w:r>
      <w:r>
        <w:rPr>
          <w:rFonts w:hint="eastAsia" w:ascii="宋体" w:cs="宋体"/>
          <w:sz w:val="24"/>
          <w:szCs w:val="24"/>
        </w:rPr>
        <w:t>“</w:t>
      </w:r>
      <w:r>
        <w:rPr>
          <w:rFonts w:hint="eastAsia" w:ascii="宋体" w:hAnsi="宋体" w:cs="宋体"/>
          <w:sz w:val="24"/>
          <w:szCs w:val="24"/>
        </w:rPr>
        <w:t>暂估合价</w:t>
      </w:r>
      <w:r>
        <w:rPr>
          <w:rFonts w:hint="eastAsia" w:ascii="宋体" w:cs="宋体"/>
          <w:sz w:val="24"/>
          <w:szCs w:val="24"/>
        </w:rPr>
        <w:t>”</w:t>
      </w:r>
      <w:r>
        <w:rPr>
          <w:rFonts w:hint="eastAsia" w:ascii="宋体" w:hAnsi="宋体" w:cs="宋体"/>
          <w:sz w:val="24"/>
          <w:szCs w:val="24"/>
        </w:rPr>
        <w:t>栏。表</w:t>
      </w:r>
      <w:r>
        <w:rPr>
          <w:rFonts w:ascii="宋体" w:cs="宋体"/>
          <w:sz w:val="24"/>
          <w:szCs w:val="24"/>
        </w:rPr>
        <w:t>-0</w:t>
      </w:r>
      <w:r>
        <w:rPr>
          <w:rFonts w:ascii="宋体" w:hAnsi="宋体" w:cs="宋体"/>
          <w:sz w:val="24"/>
          <w:szCs w:val="24"/>
        </w:rPr>
        <w:t>9</w:t>
      </w:r>
    </w:p>
    <w:p>
      <w:pPr>
        <w:pStyle w:val="48"/>
        <w:tabs>
          <w:tab w:val="left" w:pos="707"/>
        </w:tabs>
        <w:ind w:firstLine="724"/>
        <w:jc w:val="center"/>
        <w:outlineLvl w:val="2"/>
        <w:rPr>
          <w:rFonts w:ascii="方正小标宋_GBK" w:eastAsia="方正小标宋_GBK" w:cs="Times New Roman"/>
          <w:spacing w:val="1"/>
          <w:sz w:val="36"/>
          <w:szCs w:val="36"/>
          <w:lang w:eastAsia="zh-CN"/>
        </w:rPr>
      </w:pPr>
      <w:bookmarkStart w:id="722" w:name="_Toc6051"/>
      <w:bookmarkStart w:id="723" w:name="_Toc27203"/>
      <w:bookmarkStart w:id="724" w:name="_Toc27937"/>
      <w:bookmarkStart w:id="725" w:name="_Toc16625"/>
      <w:r>
        <w:rPr>
          <w:rFonts w:hint="eastAsia" w:ascii="方正小标宋_GBK" w:eastAsia="方正小标宋_GBK"/>
          <w:spacing w:val="1"/>
          <w:sz w:val="36"/>
          <w:szCs w:val="36"/>
          <w:lang w:eastAsia="zh-CN"/>
        </w:rPr>
        <w:t>G.3</w:t>
      </w:r>
      <w:r>
        <w:rPr>
          <w:rFonts w:hint="eastAsia" w:ascii="方正小标宋_GBK" w:eastAsia="方正小标宋_GBK" w:cs="Times New Roman"/>
          <w:spacing w:val="1"/>
          <w:sz w:val="36"/>
          <w:szCs w:val="36"/>
          <w:lang w:eastAsia="zh-CN"/>
        </w:rPr>
        <w:tab/>
      </w:r>
      <w:r>
        <w:rPr>
          <w:rFonts w:hint="eastAsia" w:ascii="方正小标宋_GBK" w:eastAsia="方正小标宋_GBK"/>
          <w:spacing w:val="1"/>
          <w:sz w:val="36"/>
          <w:szCs w:val="36"/>
          <w:lang w:eastAsia="zh-CN"/>
        </w:rPr>
        <w:t>材料（工程设备）暂估单价及调整表</w:t>
      </w:r>
      <w:bookmarkEnd w:id="713"/>
      <w:bookmarkEnd w:id="714"/>
      <w:bookmarkEnd w:id="715"/>
      <w:bookmarkEnd w:id="722"/>
      <w:bookmarkEnd w:id="723"/>
      <w:bookmarkEnd w:id="724"/>
      <w:bookmarkEnd w:id="725"/>
    </w:p>
    <w:p>
      <w:pPr>
        <w:spacing w:before="19" w:line="200" w:lineRule="exact"/>
        <w:ind w:firstLine="400"/>
        <w:rPr>
          <w:rFonts w:ascii="宋体"/>
          <w:sz w:val="20"/>
        </w:rPr>
      </w:pPr>
    </w:p>
    <w:p>
      <w:pPr>
        <w:pStyle w:val="8"/>
        <w:tabs>
          <w:tab w:val="left" w:pos="4529"/>
          <w:tab w:val="left" w:pos="7890"/>
          <w:tab w:val="left" w:pos="8416"/>
          <w:tab w:val="left" w:pos="9047"/>
        </w:tabs>
        <w:ind w:firstLine="240" w:firstLineChars="100"/>
        <w:rPr>
          <w:sz w:val="24"/>
          <w:szCs w:val="24"/>
        </w:rPr>
      </w:pPr>
      <w:r>
        <w:rPr>
          <w:rFonts w:hint="eastAsia"/>
          <w:sz w:val="24"/>
          <w:szCs w:val="24"/>
        </w:rPr>
        <w:t>工程</w:t>
      </w:r>
      <w:r>
        <w:rPr>
          <w:rFonts w:hint="eastAsia"/>
          <w:spacing w:val="-3"/>
          <w:sz w:val="24"/>
          <w:szCs w:val="24"/>
        </w:rPr>
        <w:t>名</w:t>
      </w:r>
      <w:r>
        <w:rPr>
          <w:rFonts w:hint="eastAsia"/>
          <w:sz w:val="24"/>
          <w:szCs w:val="24"/>
        </w:rPr>
        <w:t>称：</w:t>
      </w:r>
      <w:r>
        <w:rPr>
          <w:sz w:val="24"/>
          <w:szCs w:val="24"/>
        </w:rPr>
        <w:tab/>
      </w:r>
      <w:r>
        <w:rPr>
          <w:rFonts w:hint="eastAsia"/>
          <w:sz w:val="24"/>
          <w:szCs w:val="24"/>
        </w:rPr>
        <w:t>标</w:t>
      </w:r>
      <w:r>
        <w:rPr>
          <w:rFonts w:hint="eastAsia"/>
          <w:spacing w:val="-3"/>
          <w:sz w:val="24"/>
          <w:szCs w:val="24"/>
        </w:rPr>
        <w:t>段：</w:t>
      </w:r>
      <w:r>
        <w:rPr>
          <w:rFonts w:hint="eastAsia"/>
          <w:sz w:val="24"/>
          <w:szCs w:val="24"/>
        </w:rPr>
        <w:t xml:space="preserve">                 第  页  共  页</w:t>
      </w:r>
    </w:p>
    <w:p>
      <w:pPr>
        <w:spacing w:before="9" w:line="40" w:lineRule="exact"/>
        <w:ind w:firstLine="80"/>
        <w:rPr>
          <w:rFonts w:ascii="宋体"/>
          <w:sz w:val="4"/>
          <w:szCs w:val="4"/>
        </w:rPr>
      </w:pPr>
    </w:p>
    <w:tbl>
      <w:tblPr>
        <w:tblStyle w:val="22"/>
        <w:tblW w:w="9229" w:type="dxa"/>
        <w:jc w:val="center"/>
        <w:tblLayout w:type="fixed"/>
        <w:tblCellMar>
          <w:top w:w="0" w:type="dxa"/>
          <w:left w:w="0" w:type="dxa"/>
          <w:bottom w:w="0" w:type="dxa"/>
          <w:right w:w="0" w:type="dxa"/>
        </w:tblCellMar>
      </w:tblPr>
      <w:tblGrid>
        <w:gridCol w:w="648"/>
        <w:gridCol w:w="1060"/>
        <w:gridCol w:w="1787"/>
        <w:gridCol w:w="566"/>
        <w:gridCol w:w="659"/>
        <w:gridCol w:w="630"/>
        <w:gridCol w:w="574"/>
        <w:gridCol w:w="525"/>
        <w:gridCol w:w="549"/>
        <w:gridCol w:w="485"/>
        <w:gridCol w:w="525"/>
        <w:gridCol w:w="525"/>
        <w:gridCol w:w="696"/>
      </w:tblGrid>
      <w:tr>
        <w:tblPrEx>
          <w:tblCellMar>
            <w:top w:w="0" w:type="dxa"/>
            <w:left w:w="0" w:type="dxa"/>
            <w:bottom w:w="0" w:type="dxa"/>
            <w:right w:w="0" w:type="dxa"/>
          </w:tblCellMar>
        </w:tblPrEx>
        <w:trPr>
          <w:trHeight w:val="605" w:hRule="exact"/>
          <w:jc w:val="center"/>
        </w:trPr>
        <w:tc>
          <w:tcPr>
            <w:tcW w:w="648" w:type="dxa"/>
            <w:vMerge w:val="restart"/>
            <w:tcBorders>
              <w:top w:val="single" w:color="000000" w:sz="4" w:space="0"/>
              <w:left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r>
              <w:rPr>
                <w:rFonts w:hint="eastAsia" w:ascii="宋体" w:hAnsi="宋体" w:cs="宋体"/>
                <w:sz w:val="18"/>
                <w:szCs w:val="18"/>
              </w:rPr>
              <w:t>序号</w:t>
            </w:r>
          </w:p>
        </w:tc>
        <w:tc>
          <w:tcPr>
            <w:tcW w:w="1060" w:type="dxa"/>
            <w:vMerge w:val="restart"/>
            <w:tcBorders>
              <w:top w:val="single" w:color="000000" w:sz="4" w:space="0"/>
              <w:left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宋体"/>
                <w:sz w:val="18"/>
                <w:szCs w:val="18"/>
                <w:lang w:eastAsia="zh-CN"/>
              </w:rPr>
            </w:pPr>
            <w:r>
              <w:rPr>
                <w:rFonts w:hint="eastAsia" w:ascii="宋体" w:hAnsi="宋体" w:cs="宋体"/>
                <w:sz w:val="18"/>
                <w:szCs w:val="18"/>
                <w:lang w:eastAsia="zh-CN"/>
              </w:rPr>
              <w:t>材料编码</w:t>
            </w:r>
          </w:p>
        </w:tc>
        <w:tc>
          <w:tcPr>
            <w:tcW w:w="1787" w:type="dxa"/>
            <w:vMerge w:val="restart"/>
            <w:tcBorders>
              <w:top w:val="single" w:color="000000" w:sz="4" w:space="0"/>
              <w:left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材料（工程设备）名称、规格、型号</w:t>
            </w:r>
          </w:p>
        </w:tc>
        <w:tc>
          <w:tcPr>
            <w:tcW w:w="566" w:type="dxa"/>
            <w:vMerge w:val="restart"/>
            <w:tcBorders>
              <w:top w:val="single" w:color="000000" w:sz="4" w:space="0"/>
              <w:left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r>
              <w:rPr>
                <w:rFonts w:hint="eastAsia" w:ascii="宋体" w:hAnsi="宋体" w:cs="宋体"/>
                <w:sz w:val="18"/>
                <w:szCs w:val="18"/>
              </w:rPr>
              <w:t>计量单位</w:t>
            </w:r>
          </w:p>
        </w:tc>
        <w:tc>
          <w:tcPr>
            <w:tcW w:w="1289" w:type="dxa"/>
            <w:gridSpan w:val="2"/>
            <w:tcBorders>
              <w:top w:val="single" w:color="000000" w:sz="4" w:space="0"/>
              <w:left w:val="single" w:color="000000" w:sz="4" w:space="0"/>
              <w:bottom w:val="single" w:color="auto"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数量</w:t>
            </w:r>
          </w:p>
        </w:tc>
        <w:tc>
          <w:tcPr>
            <w:tcW w:w="1099" w:type="dxa"/>
            <w:gridSpan w:val="2"/>
            <w:tcBorders>
              <w:top w:val="single" w:color="000000" w:sz="4" w:space="0"/>
              <w:left w:val="single" w:color="auto" w:sz="4" w:space="0"/>
              <w:bottom w:val="single" w:color="auto"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r>
              <w:rPr>
                <w:rFonts w:hint="eastAsia" w:ascii="宋体" w:hAnsi="宋体" w:cs="宋体"/>
                <w:sz w:val="18"/>
                <w:szCs w:val="18"/>
                <w:lang w:eastAsia="zh-CN"/>
              </w:rPr>
              <w:t>暂估</w:t>
            </w:r>
            <w:r>
              <w:rPr>
                <w:rFonts w:hint="eastAsia" w:ascii="宋体" w:hAnsi="宋体" w:cs="宋体"/>
                <w:sz w:val="18"/>
                <w:szCs w:val="18"/>
              </w:rPr>
              <w:t>（元）</w:t>
            </w:r>
          </w:p>
        </w:tc>
        <w:tc>
          <w:tcPr>
            <w:tcW w:w="1034" w:type="dxa"/>
            <w:gridSpan w:val="2"/>
            <w:tcBorders>
              <w:top w:val="single" w:color="000000" w:sz="4" w:space="0"/>
              <w:left w:val="single" w:color="auto" w:sz="4" w:space="0"/>
              <w:bottom w:val="single" w:color="auto"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r>
              <w:rPr>
                <w:rFonts w:hint="eastAsia" w:ascii="宋体" w:hAnsi="宋体" w:cs="宋体"/>
                <w:sz w:val="18"/>
                <w:szCs w:val="18"/>
                <w:lang w:eastAsia="zh-CN"/>
              </w:rPr>
              <w:t>确认</w:t>
            </w:r>
            <w:r>
              <w:rPr>
                <w:rFonts w:hint="eastAsia" w:ascii="宋体" w:hAnsi="宋体" w:cs="宋体"/>
                <w:sz w:val="18"/>
                <w:szCs w:val="18"/>
              </w:rPr>
              <w:t>（元）</w:t>
            </w:r>
          </w:p>
        </w:tc>
        <w:tc>
          <w:tcPr>
            <w:tcW w:w="1050" w:type="dxa"/>
            <w:gridSpan w:val="2"/>
            <w:tcBorders>
              <w:top w:val="single" w:color="000000" w:sz="4" w:space="0"/>
              <w:left w:val="single" w:color="000000" w:sz="4" w:space="0"/>
              <w:bottom w:val="single" w:color="auto"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r>
              <w:rPr>
                <w:rFonts w:hint="eastAsia" w:ascii="宋体" w:hAnsi="宋体" w:cs="宋体"/>
                <w:sz w:val="18"/>
                <w:szCs w:val="18"/>
                <w:lang w:eastAsia="zh-CN"/>
              </w:rPr>
              <w:t>差额±</w:t>
            </w:r>
            <w:r>
              <w:rPr>
                <w:rFonts w:hint="eastAsia" w:ascii="宋体" w:hAnsi="宋体" w:cs="宋体"/>
                <w:sz w:val="18"/>
                <w:szCs w:val="18"/>
              </w:rPr>
              <w:t>（元）</w:t>
            </w:r>
          </w:p>
        </w:tc>
        <w:tc>
          <w:tcPr>
            <w:tcW w:w="696" w:type="dxa"/>
            <w:vMerge w:val="restart"/>
            <w:tcBorders>
              <w:top w:val="single" w:color="000000" w:sz="4" w:space="0"/>
              <w:left w:val="single" w:color="auto"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r>
              <w:rPr>
                <w:rFonts w:hint="eastAsia" w:ascii="宋体" w:hAnsi="宋体" w:cs="宋体"/>
                <w:sz w:val="18"/>
                <w:szCs w:val="18"/>
              </w:rPr>
              <w:t>备注</w:t>
            </w:r>
          </w:p>
        </w:tc>
      </w:tr>
      <w:tr>
        <w:tblPrEx>
          <w:tblCellMar>
            <w:top w:w="0" w:type="dxa"/>
            <w:left w:w="0" w:type="dxa"/>
            <w:bottom w:w="0" w:type="dxa"/>
            <w:right w:w="0" w:type="dxa"/>
          </w:tblCellMar>
        </w:tblPrEx>
        <w:trPr>
          <w:trHeight w:val="438" w:hRule="exact"/>
          <w:jc w:val="center"/>
        </w:trPr>
        <w:tc>
          <w:tcPr>
            <w:tcW w:w="648" w:type="dxa"/>
            <w:vMerge w:val="continue"/>
            <w:tcBorders>
              <w:left w:val="single" w:color="000000" w:sz="4" w:space="0"/>
              <w:bottom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p>
        </w:tc>
        <w:tc>
          <w:tcPr>
            <w:tcW w:w="1060" w:type="dxa"/>
            <w:vMerge w:val="continue"/>
            <w:tcBorders>
              <w:left w:val="single" w:color="000000" w:sz="4" w:space="0"/>
              <w:bottom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p>
        </w:tc>
        <w:tc>
          <w:tcPr>
            <w:tcW w:w="1787" w:type="dxa"/>
            <w:vMerge w:val="continue"/>
            <w:tcBorders>
              <w:left w:val="single" w:color="000000" w:sz="4" w:space="0"/>
              <w:bottom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p>
        </w:tc>
        <w:tc>
          <w:tcPr>
            <w:tcW w:w="566" w:type="dxa"/>
            <w:vMerge w:val="continue"/>
            <w:tcBorders>
              <w:left w:val="single" w:color="000000" w:sz="4" w:space="0"/>
              <w:bottom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p>
        </w:tc>
        <w:tc>
          <w:tcPr>
            <w:tcW w:w="659" w:type="dxa"/>
            <w:tcBorders>
              <w:top w:val="single" w:color="auto" w:sz="4" w:space="0"/>
              <w:left w:val="single" w:color="000000"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投标</w:t>
            </w:r>
          </w:p>
        </w:tc>
        <w:tc>
          <w:tcPr>
            <w:tcW w:w="630" w:type="dxa"/>
            <w:tcBorders>
              <w:top w:val="single" w:color="auto"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确认</w:t>
            </w:r>
          </w:p>
        </w:tc>
        <w:tc>
          <w:tcPr>
            <w:tcW w:w="574" w:type="dxa"/>
            <w:tcBorders>
              <w:top w:val="single" w:color="auto"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单价</w:t>
            </w:r>
          </w:p>
        </w:tc>
        <w:tc>
          <w:tcPr>
            <w:tcW w:w="525" w:type="dxa"/>
            <w:tcBorders>
              <w:top w:val="single" w:color="auto"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合价</w:t>
            </w:r>
          </w:p>
        </w:tc>
        <w:tc>
          <w:tcPr>
            <w:tcW w:w="549" w:type="dxa"/>
            <w:tcBorders>
              <w:top w:val="single" w:color="auto"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单价</w:t>
            </w:r>
          </w:p>
        </w:tc>
        <w:tc>
          <w:tcPr>
            <w:tcW w:w="485" w:type="dxa"/>
            <w:tcBorders>
              <w:top w:val="single" w:color="auto" w:sz="4" w:space="0"/>
              <w:left w:val="single" w:color="auto" w:sz="4" w:space="0"/>
              <w:bottom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合价</w:t>
            </w:r>
          </w:p>
        </w:tc>
        <w:tc>
          <w:tcPr>
            <w:tcW w:w="525" w:type="dxa"/>
            <w:tcBorders>
              <w:top w:val="single" w:color="auto" w:sz="4" w:space="0"/>
              <w:left w:val="single" w:color="000000"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单价</w:t>
            </w:r>
          </w:p>
        </w:tc>
        <w:tc>
          <w:tcPr>
            <w:tcW w:w="525" w:type="dxa"/>
            <w:tcBorders>
              <w:top w:val="single" w:color="auto"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合价</w:t>
            </w:r>
          </w:p>
        </w:tc>
        <w:tc>
          <w:tcPr>
            <w:tcW w:w="696" w:type="dxa"/>
            <w:vMerge w:val="continue"/>
            <w:tcBorders>
              <w:left w:val="single" w:color="auto" w:sz="4" w:space="0"/>
              <w:bottom w:val="single" w:color="000000" w:sz="4" w:space="0"/>
              <w:right w:val="single" w:color="000000" w:sz="4" w:space="0"/>
            </w:tcBorders>
            <w:tcMar>
              <w:top w:w="28" w:type="dxa"/>
              <w:left w:w="28" w:type="dxa"/>
              <w:bottom w:w="28" w:type="dxa"/>
              <w:right w:w="28" w:type="dxa"/>
            </w:tcMar>
            <w:vAlign w:val="center"/>
          </w:tcPr>
          <w:p>
            <w:pPr>
              <w:pStyle w:val="49"/>
              <w:spacing w:line="300" w:lineRule="exact"/>
              <w:ind w:firstLine="0" w:firstLineChars="0"/>
              <w:jc w:val="center"/>
              <w:rPr>
                <w:rFonts w:ascii="宋体" w:hAnsi="宋体" w:cs="Times New Roman"/>
                <w:sz w:val="18"/>
                <w:szCs w:val="18"/>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1060"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tcPr>
          <w:p>
            <w:pPr>
              <w:spacing w:line="300" w:lineRule="exact"/>
              <w:ind w:firstLine="0" w:firstLineChars="0"/>
              <w:rPr>
                <w:rFonts w:ascii="宋体" w:hAnsi="宋体"/>
              </w:rPr>
            </w:pPr>
          </w:p>
        </w:tc>
        <w:tc>
          <w:tcPr>
            <w:tcW w:w="1787"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566"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659" w:type="dxa"/>
            <w:tcBorders>
              <w:top w:val="single" w:color="000000" w:sz="4" w:space="0"/>
              <w:left w:val="single" w:color="000000"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630" w:type="dxa"/>
            <w:tcBorders>
              <w:top w:val="single" w:color="000000"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574" w:type="dxa"/>
            <w:tcBorders>
              <w:top w:val="single" w:color="000000"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525" w:type="dxa"/>
            <w:tcBorders>
              <w:top w:val="single" w:color="000000"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549" w:type="dxa"/>
            <w:tcBorders>
              <w:top w:val="single" w:color="000000"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485" w:type="dxa"/>
            <w:tcBorders>
              <w:top w:val="single" w:color="000000" w:sz="4" w:space="0"/>
              <w:left w:val="single" w:color="auto" w:sz="4" w:space="0"/>
              <w:bottom w:val="single" w:color="000000" w:sz="4" w:space="0"/>
              <w:right w:val="single" w:color="000000"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525" w:type="dxa"/>
            <w:tcBorders>
              <w:top w:val="single" w:color="000000" w:sz="4" w:space="0"/>
              <w:left w:val="single" w:color="000000"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525" w:type="dxa"/>
            <w:tcBorders>
              <w:top w:val="single" w:color="000000" w:sz="4" w:space="0"/>
              <w:left w:val="single" w:color="auto" w:sz="4" w:space="0"/>
              <w:bottom w:val="single" w:color="000000" w:sz="4" w:space="0"/>
              <w:right w:val="single" w:color="auto" w:sz="4" w:space="0"/>
            </w:tcBorders>
            <w:tcMar>
              <w:top w:w="28" w:type="dxa"/>
              <w:left w:w="28" w:type="dxa"/>
              <w:bottom w:w="28" w:type="dxa"/>
              <w:right w:w="28" w:type="dxa"/>
            </w:tcMar>
            <w:vAlign w:val="center"/>
          </w:tcPr>
          <w:p>
            <w:pPr>
              <w:spacing w:line="300" w:lineRule="exact"/>
              <w:ind w:firstLine="0" w:firstLineChars="0"/>
              <w:rPr>
                <w:rFonts w:ascii="宋体" w:hAnsi="宋体"/>
              </w:rPr>
            </w:pPr>
          </w:p>
        </w:tc>
        <w:tc>
          <w:tcPr>
            <w:tcW w:w="696" w:type="dxa"/>
            <w:tcBorders>
              <w:top w:val="single" w:color="000000" w:sz="4" w:space="0"/>
              <w:left w:val="single" w:color="auto" w:sz="4" w:space="0"/>
              <w:bottom w:val="single" w:color="000000" w:sz="4" w:space="0"/>
              <w:right w:val="single" w:color="000000" w:sz="4" w:space="0"/>
            </w:tcBorders>
            <w:tcMar>
              <w:top w:w="28" w:type="dxa"/>
              <w:left w:w="28" w:type="dxa"/>
              <w:bottom w:w="28" w:type="dxa"/>
              <w:right w:w="28" w:type="dxa"/>
            </w:tcMar>
            <w:vAlign w:val="center"/>
          </w:tcPr>
          <w:p>
            <w:pPr>
              <w:spacing w:line="300" w:lineRule="exact"/>
              <w:ind w:firstLine="0" w:firstLineChars="0"/>
              <w:rPr>
                <w:rFonts w:ascii="宋体" w:hAns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rPr>
          <w:trHeight w:val="776"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3"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6"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648"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1060" w:type="dxa"/>
            <w:tcBorders>
              <w:top w:val="single" w:color="000000" w:sz="4" w:space="0"/>
              <w:left w:val="single" w:color="000000" w:sz="4" w:space="0"/>
              <w:bottom w:val="single" w:color="000000" w:sz="4" w:space="0"/>
              <w:right w:val="single" w:color="000000" w:sz="4" w:space="0"/>
            </w:tcBorders>
          </w:tcPr>
          <w:p>
            <w:pPr>
              <w:ind w:firstLine="0" w:firstLineChars="0"/>
              <w:rPr>
                <w:rFonts w:ascii="宋体"/>
              </w:rPr>
            </w:pPr>
          </w:p>
        </w:tc>
        <w:tc>
          <w:tcPr>
            <w:tcW w:w="1787"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566" w:type="dxa"/>
            <w:tcBorders>
              <w:top w:val="single" w:color="000000" w:sz="4" w:space="0"/>
              <w:left w:val="single" w:color="000000" w:sz="4" w:space="0"/>
              <w:bottom w:val="single" w:color="000000" w:sz="4" w:space="0"/>
              <w:right w:val="single" w:color="000000" w:sz="4" w:space="0"/>
            </w:tcBorders>
            <w:vAlign w:val="center"/>
          </w:tcPr>
          <w:p>
            <w:pPr>
              <w:ind w:firstLine="0" w:firstLineChars="0"/>
              <w:rPr>
                <w:rFonts w:ascii="宋体"/>
              </w:rPr>
            </w:pPr>
          </w:p>
        </w:tc>
        <w:tc>
          <w:tcPr>
            <w:tcW w:w="659"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30"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74"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549"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485"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525" w:type="dxa"/>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525" w:type="dxa"/>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r>
        <w:tblPrEx>
          <w:tblCellMar>
            <w:top w:w="0" w:type="dxa"/>
            <w:left w:w="0" w:type="dxa"/>
            <w:bottom w:w="0" w:type="dxa"/>
            <w:right w:w="0" w:type="dxa"/>
          </w:tblCellMar>
        </w:tblPrEx>
        <w:trPr>
          <w:trHeight w:val="775" w:hRule="exact"/>
          <w:jc w:val="center"/>
        </w:trPr>
        <w:tc>
          <w:tcPr>
            <w:tcW w:w="5350" w:type="dxa"/>
            <w:gridSpan w:val="6"/>
            <w:tcBorders>
              <w:top w:val="single" w:color="000000" w:sz="4" w:space="0"/>
              <w:left w:val="single" w:color="000000" w:sz="4" w:space="0"/>
              <w:bottom w:val="single" w:color="000000" w:sz="4" w:space="0"/>
              <w:right w:val="single" w:color="auto" w:sz="4" w:space="0"/>
            </w:tcBorders>
            <w:vAlign w:val="center"/>
          </w:tcPr>
          <w:p>
            <w:pPr>
              <w:ind w:firstLine="0" w:firstLineChars="0"/>
              <w:jc w:val="center"/>
              <w:rPr>
                <w:rFonts w:ascii="宋体"/>
              </w:rPr>
            </w:pPr>
            <w:r>
              <w:rPr>
                <w:rFonts w:hint="eastAsia" w:ascii="宋体"/>
              </w:rPr>
              <w:t>合计</w:t>
            </w:r>
          </w:p>
        </w:tc>
        <w:tc>
          <w:tcPr>
            <w:tcW w:w="1099" w:type="dxa"/>
            <w:gridSpan w:val="2"/>
            <w:tcBorders>
              <w:top w:val="single" w:color="000000" w:sz="4" w:space="0"/>
              <w:left w:val="single" w:color="auto" w:sz="4" w:space="0"/>
              <w:bottom w:val="single" w:color="000000" w:sz="4" w:space="0"/>
              <w:right w:val="single" w:color="auto" w:sz="4" w:space="0"/>
            </w:tcBorders>
            <w:vAlign w:val="center"/>
          </w:tcPr>
          <w:p>
            <w:pPr>
              <w:ind w:firstLine="0" w:firstLineChars="0"/>
              <w:rPr>
                <w:rFonts w:ascii="宋体"/>
              </w:rPr>
            </w:pPr>
          </w:p>
        </w:tc>
        <w:tc>
          <w:tcPr>
            <w:tcW w:w="1034" w:type="dxa"/>
            <w:gridSpan w:val="2"/>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c>
          <w:tcPr>
            <w:tcW w:w="1050" w:type="dxa"/>
            <w:gridSpan w:val="2"/>
            <w:tcBorders>
              <w:top w:val="single" w:color="000000" w:sz="4" w:space="0"/>
              <w:left w:val="single" w:color="000000" w:sz="4" w:space="0"/>
              <w:bottom w:val="single" w:color="000000" w:sz="4" w:space="0"/>
              <w:right w:val="single" w:color="auto" w:sz="4" w:space="0"/>
            </w:tcBorders>
            <w:vAlign w:val="center"/>
          </w:tcPr>
          <w:p>
            <w:pPr>
              <w:ind w:firstLine="0" w:firstLineChars="0"/>
              <w:rPr>
                <w:rFonts w:ascii="宋体"/>
              </w:rPr>
            </w:pPr>
          </w:p>
        </w:tc>
        <w:tc>
          <w:tcPr>
            <w:tcW w:w="696" w:type="dxa"/>
            <w:tcBorders>
              <w:top w:val="single" w:color="000000" w:sz="4" w:space="0"/>
              <w:left w:val="single" w:color="auto" w:sz="4" w:space="0"/>
              <w:bottom w:val="single" w:color="000000" w:sz="4" w:space="0"/>
              <w:right w:val="single" w:color="000000" w:sz="4" w:space="0"/>
            </w:tcBorders>
            <w:vAlign w:val="center"/>
          </w:tcPr>
          <w:p>
            <w:pPr>
              <w:ind w:firstLine="0" w:firstLineChars="0"/>
              <w:rPr>
                <w:rFonts w:ascii="宋体"/>
              </w:rPr>
            </w:pPr>
          </w:p>
        </w:tc>
      </w:tr>
    </w:tbl>
    <w:p>
      <w:pPr>
        <w:spacing w:line="280" w:lineRule="exact"/>
        <w:ind w:firstLine="360" w:firstLineChars="150"/>
        <w:rPr>
          <w:rFonts w:ascii="宋体" w:hAnsi="宋体" w:cs="宋体"/>
          <w:sz w:val="24"/>
          <w:szCs w:val="24"/>
        </w:rPr>
      </w:pPr>
      <w:r>
        <w:rPr>
          <w:rFonts w:hint="eastAsia" w:ascii="宋体" w:hAnsi="宋体" w:cs="宋体"/>
          <w:sz w:val="24"/>
          <w:szCs w:val="24"/>
        </w:rPr>
        <w:t>注</w:t>
      </w:r>
      <w:r>
        <w:rPr>
          <w:rFonts w:hint="eastAsia" w:ascii="宋体" w:hAnsi="宋体" w:cs="宋体"/>
          <w:spacing w:val="-22"/>
          <w:sz w:val="24"/>
          <w:szCs w:val="24"/>
        </w:rPr>
        <w:t>：1、</w:t>
      </w:r>
      <w:r>
        <w:rPr>
          <w:rFonts w:hint="eastAsia" w:ascii="宋体" w:hAnsi="宋体" w:cs="宋体"/>
          <w:sz w:val="24"/>
          <w:szCs w:val="24"/>
        </w:rPr>
        <w:t>此表由招标人填写“材料编码”、“材料（工程设备）名称、规格、型号”、“计量单位”、“暂估单价”</w:t>
      </w:r>
      <w:r>
        <w:rPr>
          <w:rFonts w:hint="eastAsia" w:ascii="宋体" w:hAnsi="宋体" w:cs="宋体"/>
          <w:spacing w:val="-22"/>
          <w:sz w:val="24"/>
          <w:szCs w:val="24"/>
        </w:rPr>
        <w:t>，</w:t>
      </w:r>
      <w:r>
        <w:rPr>
          <w:rFonts w:hint="eastAsia" w:ascii="宋体" w:hAnsi="宋体" w:cs="宋体"/>
          <w:sz w:val="24"/>
          <w:szCs w:val="24"/>
        </w:rPr>
        <w:t>并在备注栏说明暂估价的材料、工程设备拟用在那些清单项目上</w:t>
      </w:r>
      <w:r>
        <w:rPr>
          <w:rFonts w:hint="eastAsia" w:ascii="宋体" w:hAnsi="宋体" w:cs="宋体"/>
          <w:spacing w:val="-22"/>
          <w:sz w:val="24"/>
          <w:szCs w:val="24"/>
        </w:rPr>
        <w:t>，</w:t>
      </w:r>
      <w:r>
        <w:rPr>
          <w:rFonts w:hint="eastAsia" w:ascii="宋体" w:hAnsi="宋体" w:cs="宋体"/>
          <w:sz w:val="24"/>
          <w:szCs w:val="24"/>
        </w:rPr>
        <w:t>投标人应将上述材料、工程设备暂估单价计入工程量清单综合单价报价中，并填写“数量”中的“投标”和“暂估合价” 列。</w:t>
      </w:r>
    </w:p>
    <w:p>
      <w:pPr>
        <w:spacing w:line="280" w:lineRule="exact"/>
        <w:ind w:firstLine="360" w:firstLineChars="150"/>
        <w:rPr>
          <w:rFonts w:ascii="宋体"/>
          <w:sz w:val="24"/>
          <w:szCs w:val="24"/>
        </w:rPr>
      </w:pPr>
      <w:r>
        <w:rPr>
          <w:rFonts w:hint="eastAsia" w:ascii="宋体" w:hAnsi="宋体" w:cs="宋体"/>
          <w:sz w:val="24"/>
          <w:szCs w:val="24"/>
        </w:rPr>
        <w:t>2、此表中所列暂估材料（工程设备）为暂时不能确定价格的材料（工程设备），不包含发包人供应材料（工程设备）。</w:t>
      </w:r>
    </w:p>
    <w:p>
      <w:pPr>
        <w:spacing w:line="243" w:lineRule="exact"/>
        <w:ind w:firstLine="360"/>
        <w:jc w:val="center"/>
        <w:rPr>
          <w:rFonts w:ascii="宋体" w:hAnsi="宋体"/>
          <w:sz w:val="18"/>
          <w:szCs w:val="18"/>
        </w:rPr>
      </w:pPr>
      <w:r>
        <w:rPr>
          <w:rFonts w:hint="eastAsia" w:cs="宋体"/>
          <w:sz w:val="18"/>
          <w:szCs w:val="18"/>
        </w:rPr>
        <w:t xml:space="preserve">                                                                                      </w:t>
      </w:r>
      <w:r>
        <w:rPr>
          <w:rFonts w:hint="eastAsia" w:ascii="宋体" w:hAnsi="宋体" w:cs="宋体"/>
          <w:sz w:val="18"/>
          <w:szCs w:val="18"/>
        </w:rPr>
        <w:t>表</w:t>
      </w:r>
      <w:r>
        <w:rPr>
          <w:rFonts w:ascii="宋体" w:hAnsi="宋体"/>
          <w:sz w:val="18"/>
          <w:szCs w:val="18"/>
        </w:rPr>
        <w:t>-12-2</w:t>
      </w:r>
    </w:p>
    <w:p>
      <w:pPr>
        <w:spacing w:line="299" w:lineRule="exact"/>
        <w:ind w:firstLine="560"/>
        <w:jc w:val="center"/>
        <w:rPr>
          <w:rFonts w:ascii="宋体"/>
        </w:rPr>
        <w:sectPr>
          <w:footerReference r:id="rId13" w:type="default"/>
          <w:pgSz w:w="11907" w:h="16840"/>
          <w:pgMar w:top="1587" w:right="1474" w:bottom="1474" w:left="1474" w:header="0" w:footer="975" w:gutter="0"/>
          <w:pgNumType w:fmt="decimal"/>
          <w:cols w:space="0" w:num="1"/>
        </w:sectPr>
      </w:pPr>
    </w:p>
    <w:p>
      <w:pPr>
        <w:pStyle w:val="47"/>
        <w:tabs>
          <w:tab w:val="left" w:pos="484"/>
          <w:tab w:val="left" w:pos="1449"/>
        </w:tabs>
        <w:spacing w:line="419" w:lineRule="exact"/>
        <w:ind w:right="62" w:firstLine="720"/>
        <w:jc w:val="center"/>
        <w:outlineLvl w:val="0"/>
        <w:rPr>
          <w:rFonts w:ascii="方正小标宋_GBK" w:eastAsia="方正小标宋_GBK" w:cs="Times New Roman"/>
          <w:sz w:val="36"/>
          <w:szCs w:val="36"/>
          <w:lang w:eastAsia="zh-CN"/>
        </w:rPr>
      </w:pPr>
      <w:bookmarkStart w:id="726" w:name="_Toc27200"/>
      <w:bookmarkStart w:id="727" w:name="_Toc29071"/>
      <w:bookmarkStart w:id="728" w:name="_Toc20415"/>
      <w:bookmarkStart w:id="729" w:name="_Toc157"/>
      <w:bookmarkStart w:id="730" w:name="_Toc16489"/>
      <w:bookmarkStart w:id="731" w:name="_Toc30127"/>
      <w:bookmarkStart w:id="732" w:name="_Toc17605"/>
      <w:bookmarkStart w:id="733" w:name="_Toc15581"/>
      <w:bookmarkStart w:id="734" w:name="_Toc30428"/>
      <w:bookmarkStart w:id="735" w:name="_Toc30593"/>
      <w:bookmarkStart w:id="736" w:name="_Toc12327"/>
      <w:bookmarkStart w:id="737" w:name="_Toc15882"/>
      <w:bookmarkStart w:id="738" w:name="_Toc18917"/>
      <w:bookmarkStart w:id="739" w:name="_Toc24106"/>
      <w:bookmarkStart w:id="740" w:name="_Toc5911"/>
      <w:r>
        <w:rPr>
          <w:rFonts w:hint="eastAsia" w:ascii="方正小标宋_GBK" w:eastAsia="方正小标宋_GBK"/>
          <w:sz w:val="36"/>
          <w:szCs w:val="36"/>
          <w:lang w:eastAsia="zh-CN"/>
        </w:rPr>
        <w:t>附录H</w:t>
      </w:r>
      <w:r>
        <w:rPr>
          <w:rFonts w:hint="eastAsia" w:ascii="方正小标宋_GBK" w:eastAsia="方正小标宋_GBK"/>
          <w:sz w:val="36"/>
          <w:szCs w:val="36"/>
          <w:lang w:eastAsia="zh-CN"/>
        </w:rPr>
        <w:tab/>
      </w:r>
      <w:r>
        <w:rPr>
          <w:rFonts w:hint="eastAsia" w:ascii="方正小标宋_GBK" w:eastAsia="方正小标宋_GBK"/>
          <w:sz w:val="36"/>
          <w:szCs w:val="36"/>
          <w:lang w:eastAsia="zh-CN"/>
        </w:rPr>
        <w:t>规费、税金项目计价表</w:t>
      </w:r>
      <w:bookmarkEnd w:id="716"/>
      <w:bookmarkEnd w:id="717"/>
      <w:bookmarkEnd w:id="718"/>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p>
      <w:pPr>
        <w:spacing w:before="19" w:line="200" w:lineRule="exact"/>
        <w:ind w:firstLine="400"/>
        <w:rPr>
          <w:rFonts w:ascii="宋体"/>
          <w:sz w:val="20"/>
        </w:rPr>
      </w:pPr>
    </w:p>
    <w:p>
      <w:pPr>
        <w:pStyle w:val="8"/>
        <w:tabs>
          <w:tab w:val="left" w:pos="4094"/>
          <w:tab w:val="left" w:pos="7455"/>
          <w:tab w:val="left" w:pos="7981"/>
          <w:tab w:val="left" w:pos="8715"/>
        </w:tabs>
        <w:ind w:firstLine="120" w:firstLineChars="50"/>
        <w:rPr>
          <w:sz w:val="24"/>
          <w:szCs w:val="24"/>
        </w:rPr>
      </w:pPr>
      <w:r>
        <w:rPr>
          <w:rFonts w:hint="eastAsia"/>
          <w:sz w:val="24"/>
          <w:szCs w:val="24"/>
        </w:rPr>
        <w:t>工</w:t>
      </w:r>
      <w:r>
        <w:rPr>
          <w:rFonts w:hint="eastAsia"/>
          <w:spacing w:val="-3"/>
          <w:sz w:val="24"/>
          <w:szCs w:val="24"/>
        </w:rPr>
        <w:t>程</w:t>
      </w:r>
      <w:r>
        <w:rPr>
          <w:rFonts w:hint="eastAsia"/>
          <w:sz w:val="24"/>
          <w:szCs w:val="24"/>
        </w:rPr>
        <w:t>名</w:t>
      </w:r>
      <w:r>
        <w:rPr>
          <w:rFonts w:hint="eastAsia"/>
          <w:spacing w:val="-3"/>
          <w:sz w:val="24"/>
          <w:szCs w:val="24"/>
        </w:rPr>
        <w:t>称</w:t>
      </w:r>
      <w:r>
        <w:rPr>
          <w:rFonts w:hint="eastAsia"/>
          <w:sz w:val="24"/>
          <w:szCs w:val="24"/>
        </w:rPr>
        <w:t>：                      标</w:t>
      </w:r>
      <w:r>
        <w:rPr>
          <w:rFonts w:hint="eastAsia"/>
          <w:spacing w:val="-3"/>
          <w:sz w:val="24"/>
          <w:szCs w:val="24"/>
        </w:rPr>
        <w:t>段</w:t>
      </w:r>
      <w:r>
        <w:rPr>
          <w:rFonts w:hint="eastAsia"/>
          <w:sz w:val="24"/>
          <w:szCs w:val="24"/>
        </w:rPr>
        <w:t xml:space="preserve">：                     第  </w:t>
      </w:r>
      <w:r>
        <w:rPr>
          <w:rFonts w:hint="eastAsia"/>
          <w:spacing w:val="-3"/>
          <w:sz w:val="24"/>
          <w:szCs w:val="24"/>
        </w:rPr>
        <w:t xml:space="preserve">页  </w:t>
      </w:r>
      <w:r>
        <w:rPr>
          <w:rFonts w:hint="eastAsia"/>
          <w:sz w:val="24"/>
          <w:szCs w:val="24"/>
        </w:rPr>
        <w:t>共  页</w:t>
      </w:r>
    </w:p>
    <w:p>
      <w:pPr>
        <w:spacing w:before="9" w:line="40" w:lineRule="exact"/>
        <w:ind w:firstLine="80"/>
        <w:rPr>
          <w:rFonts w:ascii="宋体"/>
          <w:sz w:val="4"/>
          <w:szCs w:val="4"/>
        </w:rPr>
      </w:pPr>
    </w:p>
    <w:tbl>
      <w:tblPr>
        <w:tblStyle w:val="22"/>
        <w:tblW w:w="8719" w:type="dxa"/>
        <w:jc w:val="center"/>
        <w:tblLayout w:type="fixed"/>
        <w:tblCellMar>
          <w:top w:w="0" w:type="dxa"/>
          <w:left w:w="0" w:type="dxa"/>
          <w:bottom w:w="0" w:type="dxa"/>
          <w:right w:w="0" w:type="dxa"/>
        </w:tblCellMar>
      </w:tblPr>
      <w:tblGrid>
        <w:gridCol w:w="740"/>
        <w:gridCol w:w="2458"/>
        <w:gridCol w:w="2211"/>
        <w:gridCol w:w="1134"/>
        <w:gridCol w:w="1134"/>
        <w:gridCol w:w="1042"/>
      </w:tblGrid>
      <w:tr>
        <w:tblPrEx>
          <w:tblCellMar>
            <w:top w:w="0" w:type="dxa"/>
            <w:left w:w="0" w:type="dxa"/>
            <w:bottom w:w="0" w:type="dxa"/>
            <w:right w:w="0" w:type="dxa"/>
          </w:tblCellMar>
        </w:tblPrEx>
        <w:trPr>
          <w:trHeight w:val="888" w:hRule="exact"/>
          <w:jc w:val="center"/>
        </w:trPr>
        <w:tc>
          <w:tcPr>
            <w:tcW w:w="740"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2458"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项目名称</w:t>
            </w:r>
          </w:p>
        </w:tc>
        <w:tc>
          <w:tcPr>
            <w:tcW w:w="2211"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计算基础</w:t>
            </w:r>
          </w:p>
        </w:tc>
        <w:tc>
          <w:tcPr>
            <w:tcW w:w="1134" w:type="dxa"/>
            <w:tcBorders>
              <w:top w:val="single" w:color="000000" w:sz="4" w:space="0"/>
              <w:left w:val="single" w:color="000000" w:sz="4" w:space="0"/>
              <w:bottom w:val="single" w:color="000000" w:sz="4" w:space="0"/>
              <w:right w:val="single" w:color="000000" w:sz="6"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lang w:eastAsia="zh-CN"/>
              </w:rPr>
            </w:pPr>
            <w:r>
              <w:rPr>
                <w:rFonts w:ascii="Times New Roman" w:hAnsi="Times New Roman" w:cs="Times New Roman"/>
                <w:sz w:val="18"/>
                <w:szCs w:val="18"/>
                <w:lang w:eastAsia="zh-CN"/>
              </w:rPr>
              <w:t>计算基数</w:t>
            </w:r>
          </w:p>
          <w:p>
            <w:pPr>
              <w:pStyle w:val="49"/>
              <w:spacing w:line="240" w:lineRule="auto"/>
              <w:ind w:firstLine="0" w:firstLineChars="0"/>
              <w:jc w:val="center"/>
              <w:rPr>
                <w:rFonts w:ascii="Times New Roman" w:hAnsi="Times New Roman" w:cs="Times New Roman"/>
                <w:sz w:val="18"/>
                <w:szCs w:val="18"/>
                <w:lang w:eastAsia="zh-CN"/>
              </w:rPr>
            </w:pPr>
            <w:r>
              <w:rPr>
                <w:rFonts w:ascii="Times New Roman" w:hAnsi="Times New Roman" w:cs="Times New Roman"/>
                <w:sz w:val="18"/>
                <w:szCs w:val="18"/>
                <w:lang w:eastAsia="zh-CN"/>
              </w:rPr>
              <w:t>（元）</w:t>
            </w:r>
          </w:p>
        </w:tc>
        <w:tc>
          <w:tcPr>
            <w:tcW w:w="1134" w:type="dxa"/>
            <w:tcBorders>
              <w:top w:val="single" w:color="000000" w:sz="4" w:space="0"/>
              <w:left w:val="single" w:color="000000" w:sz="6"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eastAsia="zh-CN"/>
              </w:rPr>
              <w:t>计算</w:t>
            </w:r>
            <w:r>
              <w:rPr>
                <w:rFonts w:ascii="Times New Roman" w:hAnsi="Times New Roman" w:cs="Times New Roman"/>
                <w:sz w:val="18"/>
                <w:szCs w:val="18"/>
              </w:rPr>
              <w:t>费率（</w:t>
            </w:r>
            <w:r>
              <w:rPr>
                <w:rFonts w:ascii="Times New Roman" w:hAnsi="Times New Roman" w:cs="Times New Roman"/>
                <w:spacing w:val="1"/>
                <w:sz w:val="18"/>
                <w:szCs w:val="18"/>
              </w:rPr>
              <w:t>%</w:t>
            </w:r>
            <w:r>
              <w:rPr>
                <w:rFonts w:ascii="Times New Roman" w:hAnsi="Times New Roman" w:cs="Times New Roman"/>
                <w:sz w:val="18"/>
                <w:szCs w:val="18"/>
              </w:rPr>
              <w:t>）</w:t>
            </w:r>
          </w:p>
        </w:tc>
        <w:tc>
          <w:tcPr>
            <w:tcW w:w="1042"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金额（元）</w:t>
            </w:r>
          </w:p>
        </w:tc>
      </w:tr>
      <w:tr>
        <w:tblPrEx>
          <w:tblCellMar>
            <w:top w:w="0" w:type="dxa"/>
            <w:left w:w="0" w:type="dxa"/>
            <w:bottom w:w="0" w:type="dxa"/>
            <w:right w:w="0" w:type="dxa"/>
          </w:tblCellMar>
        </w:tblPrEx>
        <w:trPr>
          <w:trHeight w:val="856" w:hRule="exact"/>
          <w:jc w:val="center"/>
        </w:trPr>
        <w:tc>
          <w:tcPr>
            <w:tcW w:w="740"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458"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rPr>
                <w:rFonts w:ascii="Times New Roman" w:hAnsi="Times New Roman" w:cs="Times New Roman"/>
                <w:sz w:val="18"/>
                <w:szCs w:val="18"/>
              </w:rPr>
            </w:pPr>
            <w:r>
              <w:rPr>
                <w:rFonts w:ascii="Times New Roman" w:hAnsi="Times New Roman" w:cs="Times New Roman"/>
                <w:sz w:val="18"/>
                <w:szCs w:val="18"/>
              </w:rPr>
              <w:t>规费</w:t>
            </w:r>
          </w:p>
        </w:tc>
        <w:tc>
          <w:tcPr>
            <w:tcW w:w="2211" w:type="dxa"/>
            <w:vMerge w:val="restart"/>
            <w:tcBorders>
              <w:top w:val="single" w:color="000000" w:sz="4" w:space="0"/>
              <w:left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jc w:val="center"/>
              <w:rPr>
                <w:rFonts w:eastAsia="宋体"/>
                <w:sz w:val="18"/>
                <w:szCs w:val="18"/>
              </w:rPr>
            </w:pPr>
            <w:r>
              <w:rPr>
                <w:rFonts w:eastAsia="宋体"/>
                <w:sz w:val="18"/>
                <w:szCs w:val="18"/>
              </w:rPr>
              <w:t>分部分项工程费</w:t>
            </w:r>
            <w:r>
              <w:rPr>
                <w:rFonts w:eastAsia="宋体"/>
                <w:spacing w:val="6"/>
                <w:sz w:val="18"/>
                <w:szCs w:val="18"/>
              </w:rPr>
              <w:t>+</w:t>
            </w:r>
            <w:r>
              <w:rPr>
                <w:rFonts w:eastAsia="宋体"/>
                <w:spacing w:val="7"/>
                <w:sz w:val="18"/>
                <w:szCs w:val="18"/>
              </w:rPr>
              <w:t>措</w:t>
            </w:r>
            <w:r>
              <w:rPr>
                <w:rFonts w:eastAsia="宋体"/>
                <w:spacing w:val="4"/>
                <w:sz w:val="18"/>
                <w:szCs w:val="18"/>
              </w:rPr>
              <w:t>施项目</w:t>
            </w:r>
            <w:r>
              <w:rPr>
                <w:rFonts w:eastAsia="宋体"/>
                <w:spacing w:val="5"/>
                <w:sz w:val="18"/>
                <w:szCs w:val="18"/>
              </w:rPr>
              <w:t>费</w:t>
            </w:r>
            <w:r>
              <w:rPr>
                <w:rFonts w:eastAsia="宋体"/>
                <w:spacing w:val="8"/>
                <w:sz w:val="18"/>
                <w:szCs w:val="18"/>
              </w:rPr>
              <w:t>+</w:t>
            </w:r>
            <w:r>
              <w:rPr>
                <w:rFonts w:eastAsia="宋体"/>
                <w:spacing w:val="4"/>
                <w:sz w:val="18"/>
                <w:szCs w:val="18"/>
              </w:rPr>
              <w:t>其他</w:t>
            </w:r>
            <w:r>
              <w:rPr>
                <w:rFonts w:eastAsia="宋体"/>
                <w:sz w:val="18"/>
                <w:szCs w:val="18"/>
              </w:rPr>
              <w:t>项目费</w:t>
            </w:r>
          </w:p>
          <w:p>
            <w:pPr>
              <w:spacing w:line="240" w:lineRule="auto"/>
              <w:ind w:firstLine="0" w:firstLineChars="0"/>
              <w:jc w:val="center"/>
              <w:rPr>
                <w:rFonts w:eastAsia="宋体"/>
              </w:rPr>
            </w:pPr>
            <w:r>
              <w:rPr>
                <w:rFonts w:eastAsia="宋体"/>
                <w:sz w:val="18"/>
                <w:szCs w:val="18"/>
              </w:rPr>
              <w:t>-工程设备费</w:t>
            </w:r>
          </w:p>
        </w:tc>
        <w:tc>
          <w:tcPr>
            <w:tcW w:w="1134" w:type="dxa"/>
            <w:tcBorders>
              <w:top w:val="single" w:color="000000" w:sz="4" w:space="0"/>
              <w:left w:val="single" w:color="000000" w:sz="4" w:space="0"/>
              <w:bottom w:val="single" w:color="000000" w:sz="4" w:space="0"/>
              <w:right w:val="single" w:color="000000" w:sz="6"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6"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042"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r>
      <w:tr>
        <w:tblPrEx>
          <w:tblCellMar>
            <w:top w:w="0" w:type="dxa"/>
            <w:left w:w="0" w:type="dxa"/>
            <w:bottom w:w="0" w:type="dxa"/>
            <w:right w:w="0" w:type="dxa"/>
          </w:tblCellMar>
        </w:tblPrEx>
        <w:trPr>
          <w:trHeight w:val="1554" w:hRule="exact"/>
          <w:jc w:val="center"/>
        </w:trPr>
        <w:tc>
          <w:tcPr>
            <w:tcW w:w="740"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pacing w:val="1"/>
                <w:sz w:val="18"/>
                <w:szCs w:val="18"/>
              </w:rPr>
              <w:t>1.1</w:t>
            </w:r>
          </w:p>
        </w:tc>
        <w:tc>
          <w:tcPr>
            <w:tcW w:w="2458"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rPr>
                <w:rFonts w:ascii="Times New Roman" w:hAnsi="Times New Roman" w:cs="Times New Roman"/>
                <w:sz w:val="18"/>
                <w:szCs w:val="18"/>
              </w:rPr>
            </w:pPr>
            <w:r>
              <w:rPr>
                <w:rFonts w:ascii="Times New Roman" w:hAnsi="Times New Roman" w:cs="Times New Roman"/>
                <w:sz w:val="18"/>
                <w:szCs w:val="18"/>
                <w:lang w:eastAsia="zh-CN"/>
              </w:rPr>
              <w:t>社会保险费</w:t>
            </w:r>
          </w:p>
        </w:tc>
        <w:tc>
          <w:tcPr>
            <w:tcW w:w="2211" w:type="dxa"/>
            <w:vMerge w:val="continue"/>
            <w:tcBorders>
              <w:left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4" w:space="0"/>
              <w:bottom w:val="single" w:color="000000" w:sz="4" w:space="0"/>
              <w:right w:val="single" w:color="000000" w:sz="6"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6"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042"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r>
      <w:tr>
        <w:tblPrEx>
          <w:tblCellMar>
            <w:top w:w="0" w:type="dxa"/>
            <w:left w:w="0" w:type="dxa"/>
            <w:bottom w:w="0" w:type="dxa"/>
            <w:right w:w="0" w:type="dxa"/>
          </w:tblCellMar>
        </w:tblPrEx>
        <w:trPr>
          <w:trHeight w:val="1771" w:hRule="exact"/>
          <w:jc w:val="center"/>
        </w:trPr>
        <w:tc>
          <w:tcPr>
            <w:tcW w:w="740"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lang w:eastAsia="zh-CN"/>
              </w:rPr>
            </w:pPr>
            <w:r>
              <w:rPr>
                <w:rFonts w:ascii="Times New Roman" w:hAnsi="Times New Roman" w:cs="Times New Roman"/>
                <w:spacing w:val="1"/>
                <w:sz w:val="18"/>
                <w:szCs w:val="18"/>
              </w:rPr>
              <w:t>1.</w:t>
            </w:r>
            <w:r>
              <w:rPr>
                <w:rFonts w:ascii="Times New Roman" w:hAnsi="Times New Roman" w:cs="Times New Roman"/>
                <w:spacing w:val="1"/>
                <w:sz w:val="18"/>
                <w:szCs w:val="18"/>
                <w:lang w:eastAsia="zh-CN"/>
              </w:rPr>
              <w:t>2</w:t>
            </w:r>
          </w:p>
        </w:tc>
        <w:tc>
          <w:tcPr>
            <w:tcW w:w="2458"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rPr>
                <w:rFonts w:ascii="Times New Roman" w:hAnsi="Times New Roman" w:cs="Times New Roman"/>
                <w:sz w:val="18"/>
                <w:szCs w:val="18"/>
                <w:lang w:eastAsia="zh-CN"/>
              </w:rPr>
            </w:pPr>
            <w:r>
              <w:rPr>
                <w:rFonts w:ascii="Times New Roman" w:hAnsi="Times New Roman" w:cs="Times New Roman"/>
                <w:sz w:val="18"/>
                <w:szCs w:val="18"/>
                <w:lang w:eastAsia="zh-CN"/>
              </w:rPr>
              <w:t>住房公积金</w:t>
            </w:r>
          </w:p>
        </w:tc>
        <w:tc>
          <w:tcPr>
            <w:tcW w:w="2211" w:type="dxa"/>
            <w:vMerge w:val="continue"/>
            <w:tcBorders>
              <w:left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4" w:space="0"/>
              <w:bottom w:val="single" w:color="000000" w:sz="4" w:space="0"/>
              <w:right w:val="single" w:color="000000" w:sz="6"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6"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042"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r>
      <w:tr>
        <w:tblPrEx>
          <w:tblCellMar>
            <w:top w:w="0" w:type="dxa"/>
            <w:left w:w="0" w:type="dxa"/>
            <w:bottom w:w="0" w:type="dxa"/>
            <w:right w:w="0" w:type="dxa"/>
          </w:tblCellMar>
        </w:tblPrEx>
        <w:trPr>
          <w:trHeight w:val="1316" w:hRule="exact"/>
          <w:jc w:val="center"/>
        </w:trPr>
        <w:tc>
          <w:tcPr>
            <w:tcW w:w="740" w:type="dxa"/>
            <w:tcBorders>
              <w:top w:val="single" w:color="000000" w:sz="4" w:space="0"/>
              <w:left w:val="single" w:color="000000" w:sz="4" w:space="0"/>
              <w:bottom w:val="single" w:color="000000" w:sz="6" w:space="0"/>
              <w:right w:val="single" w:color="000000" w:sz="4" w:space="0"/>
            </w:tcBorders>
            <w:tcMar>
              <w:top w:w="108" w:type="dxa"/>
              <w:left w:w="108" w:type="dxa"/>
              <w:bottom w:w="108" w:type="dxa"/>
              <w:right w:w="108" w:type="dxa"/>
            </w:tcMar>
            <w:vAlign w:val="center"/>
          </w:tcPr>
          <w:p>
            <w:pPr>
              <w:spacing w:line="240" w:lineRule="auto"/>
              <w:ind w:firstLine="0" w:firstLineChars="0"/>
              <w:jc w:val="center"/>
              <w:rPr>
                <w:rFonts w:eastAsia="宋体"/>
              </w:rPr>
            </w:pPr>
            <w:r>
              <w:rPr>
                <w:rFonts w:eastAsia="宋体"/>
                <w:spacing w:val="1"/>
                <w:sz w:val="18"/>
                <w:szCs w:val="18"/>
              </w:rPr>
              <w:t>1.3</w:t>
            </w:r>
          </w:p>
        </w:tc>
        <w:tc>
          <w:tcPr>
            <w:tcW w:w="2458" w:type="dxa"/>
            <w:tcBorders>
              <w:top w:val="single" w:color="000000" w:sz="4" w:space="0"/>
              <w:left w:val="single" w:color="000000" w:sz="4" w:space="0"/>
              <w:bottom w:val="single" w:color="000000" w:sz="6" w:space="0"/>
              <w:right w:val="single" w:color="000000" w:sz="4" w:space="0"/>
            </w:tcBorders>
            <w:tcMar>
              <w:top w:w="108" w:type="dxa"/>
              <w:left w:w="108" w:type="dxa"/>
              <w:bottom w:w="108" w:type="dxa"/>
              <w:right w:w="108" w:type="dxa"/>
            </w:tcMar>
            <w:vAlign w:val="center"/>
          </w:tcPr>
          <w:p>
            <w:pPr>
              <w:pStyle w:val="49"/>
              <w:spacing w:line="240" w:lineRule="auto"/>
              <w:ind w:firstLine="0" w:firstLineChars="0"/>
              <w:rPr>
                <w:rFonts w:ascii="Times New Roman" w:hAnsi="Times New Roman" w:cs="Times New Roman"/>
                <w:sz w:val="18"/>
                <w:szCs w:val="18"/>
                <w:lang w:eastAsia="zh-CN"/>
              </w:rPr>
            </w:pPr>
            <w:r>
              <w:rPr>
                <w:rFonts w:ascii="Times New Roman" w:hAnsi="Times New Roman" w:cs="Times New Roman"/>
                <w:sz w:val="18"/>
                <w:szCs w:val="18"/>
                <w:lang w:eastAsia="zh-CN"/>
              </w:rPr>
              <w:t>工程排污费</w:t>
            </w:r>
          </w:p>
        </w:tc>
        <w:tc>
          <w:tcPr>
            <w:tcW w:w="2211" w:type="dxa"/>
            <w:vMerge w:val="continue"/>
            <w:tcBorders>
              <w:left w:val="single" w:color="000000" w:sz="4" w:space="0"/>
              <w:bottom w:val="single" w:color="000000" w:sz="6"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4" w:space="0"/>
              <w:bottom w:val="single" w:color="000000" w:sz="6" w:space="0"/>
              <w:right w:val="single" w:color="000000" w:sz="6"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6" w:space="0"/>
              <w:bottom w:val="single" w:color="000000" w:sz="6"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042" w:type="dxa"/>
            <w:tcBorders>
              <w:top w:val="single" w:color="000000" w:sz="4" w:space="0"/>
              <w:left w:val="single" w:color="000000" w:sz="4" w:space="0"/>
              <w:bottom w:val="single" w:color="000000" w:sz="6"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r>
      <w:tr>
        <w:tblPrEx>
          <w:tblCellMar>
            <w:top w:w="0" w:type="dxa"/>
            <w:left w:w="0" w:type="dxa"/>
            <w:bottom w:w="0" w:type="dxa"/>
            <w:right w:w="0" w:type="dxa"/>
          </w:tblCellMar>
        </w:tblPrEx>
        <w:trPr>
          <w:trHeight w:val="1723" w:hRule="exact"/>
          <w:jc w:val="center"/>
        </w:trPr>
        <w:tc>
          <w:tcPr>
            <w:tcW w:w="740"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458"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rPr>
                <w:rFonts w:ascii="Times New Roman" w:hAnsi="Times New Roman" w:cs="Times New Roman"/>
                <w:sz w:val="18"/>
                <w:szCs w:val="18"/>
              </w:rPr>
            </w:pPr>
            <w:r>
              <w:rPr>
                <w:rFonts w:ascii="Times New Roman" w:hAnsi="Times New Roman" w:cs="Times New Roman"/>
                <w:sz w:val="18"/>
                <w:szCs w:val="18"/>
              </w:rPr>
              <w:t>税金</w:t>
            </w:r>
          </w:p>
        </w:tc>
        <w:tc>
          <w:tcPr>
            <w:tcW w:w="2211"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pStyle w:val="49"/>
              <w:spacing w:line="240" w:lineRule="auto"/>
              <w:ind w:firstLine="0" w:firstLineChars="0"/>
              <w:jc w:val="center"/>
              <w:rPr>
                <w:rFonts w:ascii="Times New Roman" w:hAnsi="Times New Roman" w:cs="Times New Roman"/>
                <w:sz w:val="18"/>
                <w:szCs w:val="18"/>
                <w:lang w:eastAsia="zh-CN"/>
              </w:rPr>
            </w:pPr>
            <w:r>
              <w:rPr>
                <w:rFonts w:ascii="Times New Roman" w:hAnsi="Times New Roman" w:cs="Times New Roman"/>
                <w:spacing w:val="4"/>
                <w:sz w:val="18"/>
                <w:szCs w:val="18"/>
                <w:lang w:eastAsia="zh-CN"/>
              </w:rPr>
              <w:t>分部分项工程费</w:t>
            </w:r>
            <w:r>
              <w:rPr>
                <w:rFonts w:ascii="Times New Roman" w:hAnsi="Times New Roman" w:cs="Times New Roman"/>
                <w:spacing w:val="6"/>
                <w:sz w:val="18"/>
                <w:szCs w:val="18"/>
                <w:lang w:eastAsia="zh-CN"/>
              </w:rPr>
              <w:t>+</w:t>
            </w:r>
            <w:r>
              <w:rPr>
                <w:rFonts w:ascii="Times New Roman" w:hAnsi="Times New Roman" w:cs="Times New Roman"/>
                <w:spacing w:val="7"/>
                <w:sz w:val="18"/>
                <w:szCs w:val="18"/>
                <w:lang w:eastAsia="zh-CN"/>
              </w:rPr>
              <w:t>措</w:t>
            </w:r>
            <w:r>
              <w:rPr>
                <w:rFonts w:ascii="Times New Roman" w:hAnsi="Times New Roman" w:cs="Times New Roman"/>
                <w:spacing w:val="4"/>
                <w:sz w:val="18"/>
                <w:szCs w:val="18"/>
                <w:lang w:eastAsia="zh-CN"/>
              </w:rPr>
              <w:t>施项目</w:t>
            </w:r>
            <w:r>
              <w:rPr>
                <w:rFonts w:ascii="Times New Roman" w:hAnsi="Times New Roman" w:cs="Times New Roman"/>
                <w:spacing w:val="5"/>
                <w:sz w:val="18"/>
                <w:szCs w:val="18"/>
                <w:lang w:eastAsia="zh-CN"/>
              </w:rPr>
              <w:t>费</w:t>
            </w:r>
            <w:r>
              <w:rPr>
                <w:rFonts w:ascii="Times New Roman" w:hAnsi="Times New Roman" w:cs="Times New Roman"/>
                <w:spacing w:val="8"/>
                <w:sz w:val="18"/>
                <w:szCs w:val="18"/>
                <w:lang w:eastAsia="zh-CN"/>
              </w:rPr>
              <w:t>+</w:t>
            </w:r>
            <w:r>
              <w:rPr>
                <w:rFonts w:ascii="Times New Roman" w:hAnsi="Times New Roman" w:cs="Times New Roman"/>
                <w:spacing w:val="4"/>
                <w:sz w:val="18"/>
                <w:szCs w:val="18"/>
                <w:lang w:eastAsia="zh-CN"/>
              </w:rPr>
              <w:t>其他</w:t>
            </w:r>
            <w:r>
              <w:rPr>
                <w:rFonts w:ascii="Times New Roman" w:hAnsi="Times New Roman" w:cs="Times New Roman"/>
                <w:sz w:val="18"/>
                <w:szCs w:val="18"/>
                <w:lang w:eastAsia="zh-CN"/>
              </w:rPr>
              <w:t>项目费</w:t>
            </w:r>
            <w:r>
              <w:rPr>
                <w:rFonts w:ascii="Times New Roman" w:hAnsi="Times New Roman" w:cs="Times New Roman"/>
                <w:spacing w:val="1"/>
                <w:sz w:val="18"/>
                <w:szCs w:val="18"/>
                <w:lang w:eastAsia="zh-CN"/>
              </w:rPr>
              <w:t>+</w:t>
            </w:r>
            <w:r>
              <w:rPr>
                <w:rFonts w:ascii="Times New Roman" w:hAnsi="Times New Roman" w:cs="Times New Roman"/>
                <w:sz w:val="18"/>
                <w:szCs w:val="18"/>
                <w:lang w:eastAsia="zh-CN"/>
              </w:rPr>
              <w:t>规费-按规定不计税的工程设备金额</w:t>
            </w:r>
          </w:p>
        </w:tc>
        <w:tc>
          <w:tcPr>
            <w:tcW w:w="1134" w:type="dxa"/>
            <w:tcBorders>
              <w:top w:val="single" w:color="000000" w:sz="4" w:space="0"/>
              <w:left w:val="single" w:color="000000" w:sz="4" w:space="0"/>
              <w:bottom w:val="single" w:color="000000" w:sz="4" w:space="0"/>
              <w:right w:val="single" w:color="000000" w:sz="6"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134" w:type="dxa"/>
            <w:tcBorders>
              <w:top w:val="single" w:color="000000" w:sz="4" w:space="0"/>
              <w:left w:val="single" w:color="000000" w:sz="6"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c>
          <w:tcPr>
            <w:tcW w:w="1042" w:type="dxa"/>
            <w:tcBorders>
              <w:top w:val="single" w:color="000000" w:sz="4" w:space="0"/>
              <w:left w:val="single" w:color="000000" w:sz="4"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r>
      <w:tr>
        <w:tblPrEx>
          <w:tblCellMar>
            <w:top w:w="0" w:type="dxa"/>
            <w:left w:w="0" w:type="dxa"/>
            <w:bottom w:w="0" w:type="dxa"/>
            <w:right w:w="0" w:type="dxa"/>
          </w:tblCellMar>
        </w:tblPrEx>
        <w:trPr>
          <w:trHeight w:val="896" w:hRule="exact"/>
          <w:jc w:val="center"/>
        </w:trPr>
        <w:tc>
          <w:tcPr>
            <w:tcW w:w="3198" w:type="dxa"/>
            <w:gridSpan w:val="2"/>
            <w:tcBorders>
              <w:top w:val="single" w:color="000000" w:sz="4" w:space="0"/>
              <w:left w:val="single" w:color="000000" w:sz="4" w:space="0"/>
              <w:bottom w:val="single" w:color="000000" w:sz="4" w:space="0"/>
              <w:right w:val="single" w:color="auto" w:sz="4" w:space="0"/>
            </w:tcBorders>
            <w:tcMar>
              <w:top w:w="108" w:type="dxa"/>
              <w:left w:w="108" w:type="dxa"/>
              <w:bottom w:w="108" w:type="dxa"/>
              <w:right w:w="108" w:type="dxa"/>
            </w:tcMar>
            <w:vAlign w:val="center"/>
          </w:tcPr>
          <w:p>
            <w:pPr>
              <w:spacing w:line="240" w:lineRule="auto"/>
              <w:ind w:firstLine="0" w:firstLineChars="0"/>
              <w:jc w:val="center"/>
              <w:rPr>
                <w:rFonts w:eastAsia="宋体"/>
              </w:rPr>
            </w:pPr>
            <w:r>
              <w:rPr>
                <w:rFonts w:eastAsia="宋体"/>
                <w:sz w:val="18"/>
                <w:szCs w:val="18"/>
              </w:rPr>
              <w:t>合  计</w:t>
            </w:r>
          </w:p>
        </w:tc>
        <w:tc>
          <w:tcPr>
            <w:tcW w:w="5521" w:type="dxa"/>
            <w:gridSpan w:val="4"/>
            <w:tcBorders>
              <w:top w:val="single" w:color="000000" w:sz="4" w:space="0"/>
              <w:left w:val="single" w:color="auto" w:sz="4" w:space="0"/>
              <w:bottom w:val="single" w:color="000000" w:sz="4" w:space="0"/>
              <w:right w:val="single" w:color="000000" w:sz="4" w:space="0"/>
            </w:tcBorders>
            <w:tcMar>
              <w:top w:w="108" w:type="dxa"/>
              <w:left w:w="108" w:type="dxa"/>
              <w:bottom w:w="108" w:type="dxa"/>
              <w:right w:w="108" w:type="dxa"/>
            </w:tcMar>
            <w:vAlign w:val="center"/>
          </w:tcPr>
          <w:p>
            <w:pPr>
              <w:spacing w:line="240" w:lineRule="auto"/>
              <w:ind w:firstLine="0" w:firstLineChars="0"/>
              <w:rPr>
                <w:rFonts w:eastAsia="宋体"/>
              </w:rPr>
            </w:pPr>
          </w:p>
        </w:tc>
      </w:tr>
    </w:tbl>
    <w:p>
      <w:pPr>
        <w:pStyle w:val="8"/>
        <w:tabs>
          <w:tab w:val="left" w:pos="4935"/>
          <w:tab w:val="left" w:pos="7455"/>
          <w:tab w:val="left" w:pos="7981"/>
          <w:tab w:val="left" w:pos="8715"/>
        </w:tabs>
        <w:ind w:firstLine="90" w:firstLineChars="50"/>
      </w:pPr>
      <w:r>
        <w:rPr>
          <w:rFonts w:hint="eastAsia"/>
          <w:sz w:val="18"/>
          <w:szCs w:val="18"/>
        </w:rPr>
        <w:t>注：工程排污费费率在招标时暂按0.1%计入，结算时按工程所在地环境保护部门收取标准，按实计入。</w:t>
      </w:r>
    </w:p>
    <w:p>
      <w:pPr>
        <w:pStyle w:val="8"/>
        <w:tabs>
          <w:tab w:val="left" w:pos="5250"/>
          <w:tab w:val="left" w:pos="7455"/>
          <w:tab w:val="left" w:pos="7981"/>
          <w:tab w:val="left" w:pos="8715"/>
        </w:tabs>
        <w:ind w:firstLine="360" w:firstLineChars="150"/>
        <w:rPr>
          <w:sz w:val="24"/>
          <w:szCs w:val="24"/>
        </w:rPr>
      </w:pPr>
    </w:p>
    <w:p>
      <w:pPr>
        <w:pStyle w:val="8"/>
        <w:tabs>
          <w:tab w:val="left" w:pos="5250"/>
          <w:tab w:val="left" w:pos="7455"/>
          <w:tab w:val="left" w:pos="7981"/>
          <w:tab w:val="left" w:pos="8715"/>
        </w:tabs>
        <w:ind w:firstLine="360" w:firstLineChars="150"/>
        <w:rPr>
          <w:sz w:val="24"/>
          <w:szCs w:val="24"/>
        </w:rPr>
      </w:pPr>
      <w:r>
        <w:rPr>
          <w:rFonts w:hint="eastAsia"/>
          <w:sz w:val="24"/>
          <w:szCs w:val="24"/>
        </w:rPr>
        <w:t>编制人</w:t>
      </w:r>
      <w:r>
        <w:rPr>
          <w:sz w:val="24"/>
          <w:szCs w:val="24"/>
        </w:rPr>
        <w:t>(</w:t>
      </w:r>
      <w:r>
        <w:rPr>
          <w:rFonts w:hint="eastAsia"/>
          <w:sz w:val="24"/>
          <w:szCs w:val="24"/>
        </w:rPr>
        <w:t>造价人员</w:t>
      </w:r>
      <w:r>
        <w:rPr>
          <w:sz w:val="24"/>
          <w:szCs w:val="24"/>
        </w:rPr>
        <w:t>)</w:t>
      </w:r>
      <w:r>
        <w:rPr>
          <w:rFonts w:hint="eastAsia"/>
          <w:sz w:val="24"/>
          <w:szCs w:val="24"/>
        </w:rPr>
        <w:t>：</w:t>
      </w:r>
      <w:r>
        <w:rPr>
          <w:sz w:val="24"/>
          <w:szCs w:val="24"/>
        </w:rPr>
        <w:tab/>
      </w:r>
      <w:r>
        <w:rPr>
          <w:rFonts w:hint="eastAsia"/>
          <w:sz w:val="24"/>
          <w:szCs w:val="24"/>
        </w:rPr>
        <w:t>复核人</w:t>
      </w:r>
      <w:r>
        <w:rPr>
          <w:sz w:val="24"/>
          <w:szCs w:val="24"/>
        </w:rPr>
        <w:t>(</w:t>
      </w:r>
      <w:r>
        <w:rPr>
          <w:rFonts w:hint="eastAsia"/>
          <w:sz w:val="24"/>
          <w:szCs w:val="24"/>
        </w:rPr>
        <w:t>造价工程师</w:t>
      </w:r>
      <w:r>
        <w:rPr>
          <w:sz w:val="24"/>
          <w:szCs w:val="24"/>
        </w:rPr>
        <w:t>)</w:t>
      </w:r>
      <w:r>
        <w:rPr>
          <w:rFonts w:hint="eastAsia"/>
          <w:sz w:val="24"/>
          <w:szCs w:val="24"/>
        </w:rPr>
        <w:t>：</w:t>
      </w:r>
    </w:p>
    <w:p>
      <w:pPr>
        <w:pStyle w:val="8"/>
        <w:spacing w:before="21"/>
        <w:ind w:firstLine="360"/>
        <w:jc w:val="right"/>
        <w:rPr>
          <w:sz w:val="18"/>
          <w:szCs w:val="18"/>
        </w:rPr>
      </w:pPr>
    </w:p>
    <w:p>
      <w:pPr>
        <w:pStyle w:val="8"/>
        <w:spacing w:before="21"/>
        <w:ind w:right="360" w:firstLine="360"/>
        <w:jc w:val="right"/>
        <w:rPr>
          <w:sz w:val="18"/>
          <w:szCs w:val="18"/>
        </w:rPr>
      </w:pPr>
      <w:r>
        <w:rPr>
          <w:rFonts w:hint="eastAsia"/>
          <w:sz w:val="18"/>
          <w:szCs w:val="18"/>
        </w:rPr>
        <w:t>表</w:t>
      </w:r>
      <w:r>
        <w:rPr>
          <w:sz w:val="18"/>
          <w:szCs w:val="18"/>
        </w:rPr>
        <w:t>-13</w:t>
      </w:r>
    </w:p>
    <w:p>
      <w:pPr>
        <w:pStyle w:val="48"/>
        <w:tabs>
          <w:tab w:val="left" w:pos="707"/>
        </w:tabs>
        <w:ind w:firstLine="724"/>
        <w:jc w:val="center"/>
        <w:outlineLvl w:val="2"/>
        <w:rPr>
          <w:rFonts w:ascii="方正小标宋_GBK" w:eastAsia="方正小标宋_GBK" w:cs="Times New Roman"/>
          <w:spacing w:val="1"/>
          <w:sz w:val="36"/>
          <w:szCs w:val="36"/>
          <w:lang w:eastAsia="zh-CN"/>
        </w:rPr>
      </w:pPr>
      <w:bookmarkStart w:id="741" w:name="_Toc30343"/>
      <w:bookmarkStart w:id="742" w:name="_Toc21210"/>
      <w:bookmarkStart w:id="743" w:name="_Toc540"/>
      <w:bookmarkStart w:id="744" w:name="_Toc20560"/>
      <w:r>
        <w:rPr>
          <w:rFonts w:hint="eastAsia" w:ascii="方正小标宋_GBK" w:eastAsia="方正小标宋_GBK"/>
          <w:spacing w:val="1"/>
          <w:sz w:val="36"/>
          <w:szCs w:val="36"/>
          <w:lang w:eastAsia="zh-CN"/>
        </w:rPr>
        <w:t>L.1</w:t>
      </w:r>
      <w:r>
        <w:rPr>
          <w:rFonts w:hint="eastAsia" w:ascii="方正小标宋_GBK" w:eastAsia="方正小标宋_GBK" w:cs="Times New Roman"/>
          <w:spacing w:val="1"/>
          <w:sz w:val="36"/>
          <w:szCs w:val="36"/>
          <w:lang w:eastAsia="zh-CN"/>
        </w:rPr>
        <w:tab/>
      </w:r>
      <w:r>
        <w:rPr>
          <w:rFonts w:hint="eastAsia" w:ascii="方正小标宋_GBK" w:eastAsia="方正小标宋_GBK"/>
          <w:spacing w:val="1"/>
          <w:sz w:val="36"/>
          <w:szCs w:val="36"/>
          <w:lang w:eastAsia="zh-CN"/>
        </w:rPr>
        <w:t>发包人提供材料和工程设备一览表</w:t>
      </w:r>
      <w:bookmarkEnd w:id="719"/>
      <w:bookmarkEnd w:id="720"/>
      <w:bookmarkEnd w:id="721"/>
      <w:bookmarkEnd w:id="741"/>
      <w:bookmarkEnd w:id="742"/>
      <w:bookmarkEnd w:id="743"/>
      <w:bookmarkEnd w:id="744"/>
    </w:p>
    <w:p>
      <w:pPr>
        <w:spacing w:before="19" w:line="200" w:lineRule="exact"/>
        <w:ind w:firstLine="560"/>
        <w:rPr>
          <w:rFonts w:ascii="宋体" w:hAnsi="宋体"/>
          <w:szCs w:val="28"/>
        </w:rPr>
      </w:pPr>
    </w:p>
    <w:p>
      <w:pPr>
        <w:pStyle w:val="8"/>
        <w:tabs>
          <w:tab w:val="left" w:pos="4095"/>
          <w:tab w:val="left" w:pos="7770"/>
          <w:tab w:val="left" w:pos="8819"/>
        </w:tabs>
        <w:ind w:firstLine="0" w:firstLineChars="0"/>
        <w:rPr>
          <w:sz w:val="24"/>
          <w:szCs w:val="24"/>
        </w:rPr>
      </w:pPr>
      <w:r>
        <w:rPr>
          <w:rFonts w:hint="eastAsia"/>
          <w:sz w:val="24"/>
          <w:szCs w:val="24"/>
        </w:rPr>
        <w:t>工程</w:t>
      </w:r>
      <w:r>
        <w:rPr>
          <w:rFonts w:hint="eastAsia"/>
          <w:spacing w:val="-3"/>
          <w:sz w:val="24"/>
          <w:szCs w:val="24"/>
        </w:rPr>
        <w:t>名</w:t>
      </w:r>
      <w:r>
        <w:rPr>
          <w:rFonts w:hint="eastAsia"/>
          <w:sz w:val="24"/>
          <w:szCs w:val="24"/>
        </w:rPr>
        <w:t>称：</w:t>
      </w:r>
      <w:r>
        <w:rPr>
          <w:sz w:val="24"/>
          <w:szCs w:val="24"/>
        </w:rPr>
        <w:tab/>
      </w:r>
      <w:r>
        <w:rPr>
          <w:rFonts w:hint="eastAsia"/>
          <w:spacing w:val="-3"/>
          <w:sz w:val="24"/>
          <w:szCs w:val="24"/>
        </w:rPr>
        <w:t>标</w:t>
      </w:r>
      <w:r>
        <w:rPr>
          <w:rFonts w:hint="eastAsia"/>
          <w:sz w:val="24"/>
          <w:szCs w:val="24"/>
        </w:rPr>
        <w:t xml:space="preserve">段:                    第   </w:t>
      </w:r>
      <w:r>
        <w:rPr>
          <w:rFonts w:hint="eastAsia"/>
          <w:spacing w:val="-3"/>
          <w:sz w:val="24"/>
          <w:szCs w:val="24"/>
        </w:rPr>
        <w:t>页</w:t>
      </w:r>
      <w:r>
        <w:rPr>
          <w:rFonts w:hint="eastAsia"/>
          <w:sz w:val="24"/>
          <w:szCs w:val="24"/>
        </w:rPr>
        <w:t>共   页</w:t>
      </w:r>
    </w:p>
    <w:p>
      <w:pPr>
        <w:spacing w:before="9" w:line="40" w:lineRule="exact"/>
        <w:ind w:firstLine="560"/>
        <w:rPr>
          <w:rFonts w:ascii="宋体" w:hAnsi="宋体"/>
          <w:szCs w:val="28"/>
        </w:rPr>
      </w:pPr>
    </w:p>
    <w:tbl>
      <w:tblPr>
        <w:tblStyle w:val="22"/>
        <w:tblW w:w="8699" w:type="dxa"/>
        <w:jc w:val="center"/>
        <w:tblLayout w:type="fixed"/>
        <w:tblCellMar>
          <w:top w:w="0" w:type="dxa"/>
          <w:left w:w="0" w:type="dxa"/>
          <w:bottom w:w="0" w:type="dxa"/>
          <w:right w:w="0" w:type="dxa"/>
        </w:tblCellMar>
      </w:tblPr>
      <w:tblGrid>
        <w:gridCol w:w="600"/>
        <w:gridCol w:w="1077"/>
        <w:gridCol w:w="2005"/>
        <w:gridCol w:w="735"/>
        <w:gridCol w:w="600"/>
        <w:gridCol w:w="757"/>
        <w:gridCol w:w="735"/>
        <w:gridCol w:w="795"/>
        <w:gridCol w:w="765"/>
        <w:gridCol w:w="630"/>
      </w:tblGrid>
      <w:tr>
        <w:trPr>
          <w:trHeight w:val="1072"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序号</w:t>
            </w:r>
          </w:p>
        </w:tc>
        <w:tc>
          <w:tcPr>
            <w:tcW w:w="107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材料编码</w:t>
            </w: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材料</w:t>
            </w:r>
            <w:r>
              <w:rPr>
                <w:rFonts w:ascii="宋体" w:hAnsi="宋体" w:cs="宋体"/>
                <w:sz w:val="18"/>
                <w:szCs w:val="18"/>
                <w:lang w:eastAsia="zh-CN"/>
              </w:rPr>
              <w:t>(</w:t>
            </w:r>
            <w:r>
              <w:rPr>
                <w:rFonts w:hint="eastAsia" w:ascii="宋体" w:hAnsi="宋体" w:cs="宋体"/>
                <w:sz w:val="18"/>
                <w:szCs w:val="18"/>
                <w:lang w:eastAsia="zh-CN"/>
              </w:rPr>
              <w:t>工程设备</w:t>
            </w:r>
            <w:r>
              <w:rPr>
                <w:rFonts w:ascii="宋体" w:hAnsi="宋体" w:cs="宋体"/>
                <w:sz w:val="18"/>
                <w:szCs w:val="18"/>
                <w:lang w:eastAsia="zh-CN"/>
              </w:rPr>
              <w:t>)</w:t>
            </w:r>
          </w:p>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名称、规格、型号</w:t>
            </w: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单位</w:t>
            </w: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数量</w:t>
            </w:r>
          </w:p>
        </w:tc>
        <w:tc>
          <w:tcPr>
            <w:tcW w:w="75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单价</w:t>
            </w:r>
          </w:p>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（元）</w:t>
            </w:r>
          </w:p>
        </w:tc>
        <w:tc>
          <w:tcPr>
            <w:tcW w:w="735"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合价</w:t>
            </w:r>
          </w:p>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（元</w:t>
            </w:r>
            <w:r>
              <w:rPr>
                <w:rFonts w:ascii="宋体" w:hAnsi="宋体" w:cs="宋体"/>
                <w:sz w:val="18"/>
                <w:szCs w:val="18"/>
                <w:lang w:eastAsia="zh-CN"/>
              </w:rPr>
              <w:t>）</w:t>
            </w:r>
          </w:p>
        </w:tc>
        <w:tc>
          <w:tcPr>
            <w:tcW w:w="795" w:type="dxa"/>
            <w:tcBorders>
              <w:top w:val="single" w:color="000000" w:sz="4" w:space="0"/>
              <w:left w:val="single" w:color="000000" w:sz="4" w:space="0"/>
              <w:bottom w:val="single" w:color="000000" w:sz="4" w:space="0"/>
              <w:right w:val="single" w:color="000000" w:sz="4" w:space="0"/>
            </w:tcBorders>
            <w:tcMar>
              <w:top w:w="28" w:type="dxa"/>
              <w:left w:w="28" w:type="dxa"/>
              <w:bottom w:w="28" w:type="dxa"/>
              <w:right w:w="28" w:type="dxa"/>
            </w:tcMar>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交货</w:t>
            </w:r>
          </w:p>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方式</w:t>
            </w:r>
          </w:p>
        </w:tc>
        <w:tc>
          <w:tcPr>
            <w:tcW w:w="765" w:type="dxa"/>
            <w:tcBorders>
              <w:top w:val="single" w:color="000000" w:sz="4" w:space="0"/>
              <w:left w:val="single" w:color="000000" w:sz="4" w:space="0"/>
              <w:bottom w:val="single" w:color="000000" w:sz="4" w:space="0"/>
              <w:right w:val="single" w:color="000000" w:sz="6" w:space="0"/>
            </w:tcBorders>
            <w:tcMar>
              <w:top w:w="28" w:type="dxa"/>
              <w:left w:w="28" w:type="dxa"/>
              <w:bottom w:w="28" w:type="dxa"/>
              <w:right w:w="28" w:type="dxa"/>
            </w:tcMar>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送达</w:t>
            </w:r>
          </w:p>
          <w:p>
            <w:pPr>
              <w:pStyle w:val="49"/>
              <w:spacing w:line="240" w:lineRule="auto"/>
              <w:ind w:firstLine="0" w:firstLineChars="0"/>
              <w:jc w:val="center"/>
              <w:rPr>
                <w:rFonts w:ascii="宋体" w:hAnsi="宋体" w:cs="Times New Roman"/>
                <w:sz w:val="18"/>
                <w:szCs w:val="18"/>
                <w:lang w:eastAsia="zh-CN"/>
              </w:rPr>
            </w:pPr>
            <w:r>
              <w:rPr>
                <w:rFonts w:hint="eastAsia" w:ascii="宋体" w:hAnsi="宋体" w:cs="宋体"/>
                <w:sz w:val="18"/>
                <w:szCs w:val="18"/>
                <w:lang w:eastAsia="zh-CN"/>
              </w:rPr>
              <w:t>地点</w:t>
            </w:r>
          </w:p>
        </w:tc>
        <w:tc>
          <w:tcPr>
            <w:tcW w:w="630" w:type="dxa"/>
            <w:tcBorders>
              <w:top w:val="single" w:color="000000" w:sz="4" w:space="0"/>
              <w:left w:val="single" w:color="000000" w:sz="6" w:space="0"/>
              <w:bottom w:val="single" w:color="000000" w:sz="4" w:space="0"/>
              <w:right w:val="single" w:color="000000" w:sz="4" w:space="0"/>
            </w:tcBorders>
            <w:tcMar>
              <w:top w:w="28" w:type="dxa"/>
              <w:left w:w="28" w:type="dxa"/>
              <w:bottom w:w="28" w:type="dxa"/>
              <w:right w:w="28" w:type="dxa"/>
            </w:tcMar>
            <w:vAlign w:val="center"/>
          </w:tcPr>
          <w:p>
            <w:pPr>
              <w:pStyle w:val="49"/>
              <w:spacing w:line="240" w:lineRule="auto"/>
              <w:ind w:firstLine="0" w:firstLineChars="0"/>
              <w:jc w:val="center"/>
              <w:rPr>
                <w:rFonts w:ascii="宋体" w:hAnsi="宋体" w:cs="Times New Roman"/>
                <w:sz w:val="18"/>
                <w:szCs w:val="18"/>
              </w:rPr>
            </w:pPr>
            <w:r>
              <w:rPr>
                <w:rFonts w:hint="eastAsia" w:ascii="宋体" w:hAnsi="宋体" w:cs="宋体"/>
                <w:sz w:val="18"/>
                <w:szCs w:val="18"/>
              </w:rPr>
              <w:t>备注</w:t>
            </w: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5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5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lang w:eastAsia="zh-CN"/>
              </w:rPr>
            </w:pP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757"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lang w:eastAsia="zh-CN"/>
              </w:rPr>
            </w:pP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75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lang w:eastAsia="zh-CN"/>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5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pStyle w:val="49"/>
              <w:spacing w:line="240" w:lineRule="auto"/>
              <w:ind w:firstLine="0" w:firstLineChars="0"/>
              <w:jc w:val="both"/>
              <w:rPr>
                <w:rFonts w:ascii="宋体" w:hAnsi="宋体" w:cs="Times New Roman"/>
                <w:sz w:val="28"/>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0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57"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c>
          <w:tcPr>
            <w:tcW w:w="1077"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600" w:type="dxa"/>
            <w:tcBorders>
              <w:top w:val="single" w:color="000000" w:sz="4" w:space="0"/>
              <w:left w:val="single" w:color="000000" w:sz="6"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1077"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spacing w:line="240" w:lineRule="auto"/>
              <w:ind w:left="-325" w:leftChars="-116" w:firstLine="0" w:firstLineChars="0"/>
              <w:rPr>
                <w:rFonts w:ascii="宋体" w:hAnsi="宋体"/>
                <w:szCs w:val="28"/>
              </w:rPr>
            </w:pPr>
          </w:p>
        </w:tc>
        <w:tc>
          <w:tcPr>
            <w:tcW w:w="600"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000000" w:sz="6"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1077"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600"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000000" w:sz="6"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1077"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600"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000000" w:sz="6"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1077" w:type="dxa"/>
            <w:tcBorders>
              <w:top w:val="single" w:color="000000" w:sz="4" w:space="0"/>
              <w:left w:val="single" w:color="000000" w:sz="6" w:space="0"/>
              <w:bottom w:val="single" w:color="000000" w:sz="4" w:space="0"/>
              <w:right w:val="single" w:color="000000" w:sz="6"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600"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auto" w:sz="2"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1077" w:type="dxa"/>
            <w:tcBorders>
              <w:top w:val="single" w:color="000000" w:sz="4" w:space="0"/>
              <w:left w:val="single" w:color="000000" w:sz="6" w:space="0"/>
              <w:bottom w:val="single" w:color="000000" w:sz="4" w:space="0"/>
              <w:right w:val="single" w:color="000000" w:sz="6"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600"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auto" w:sz="2"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r>
        <w:trPr>
          <w:trHeight w:val="680" w:hRule="exact"/>
          <w:jc w:val="center"/>
        </w:trPr>
        <w:tc>
          <w:tcPr>
            <w:tcW w:w="600"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hAnsi="宋体"/>
                <w:szCs w:val="28"/>
              </w:rPr>
            </w:pPr>
          </w:p>
        </w:tc>
        <w:tc>
          <w:tcPr>
            <w:tcW w:w="1077" w:type="dxa"/>
            <w:tcBorders>
              <w:top w:val="single" w:color="000000" w:sz="4" w:space="0"/>
              <w:left w:val="single" w:color="000000" w:sz="6" w:space="0"/>
              <w:bottom w:val="single" w:color="000000" w:sz="4" w:space="0"/>
              <w:right w:val="single" w:color="000000" w:sz="6" w:space="0"/>
            </w:tcBorders>
          </w:tcPr>
          <w:p>
            <w:pPr>
              <w:spacing w:line="240" w:lineRule="auto"/>
              <w:ind w:firstLine="0" w:firstLineChars="0"/>
              <w:rPr>
                <w:rFonts w:ascii="宋体" w:hAnsi="宋体"/>
                <w:szCs w:val="28"/>
              </w:rPr>
            </w:pPr>
          </w:p>
        </w:tc>
        <w:tc>
          <w:tcPr>
            <w:tcW w:w="2005"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600" w:type="dxa"/>
            <w:tcBorders>
              <w:top w:val="single" w:color="000000" w:sz="4" w:space="0"/>
              <w:left w:val="single" w:color="000000" w:sz="6" w:space="0"/>
              <w:bottom w:val="single" w:color="000000" w:sz="4" w:space="0"/>
              <w:right w:val="single" w:color="auto" w:sz="2" w:space="0"/>
            </w:tcBorders>
            <w:vAlign w:val="center"/>
          </w:tcPr>
          <w:p>
            <w:pPr>
              <w:spacing w:line="240" w:lineRule="auto"/>
              <w:ind w:firstLine="0" w:firstLineChars="0"/>
              <w:rPr>
                <w:rFonts w:ascii="宋体" w:hAnsi="宋体"/>
                <w:szCs w:val="28"/>
              </w:rPr>
            </w:pPr>
          </w:p>
        </w:tc>
        <w:tc>
          <w:tcPr>
            <w:tcW w:w="757" w:type="dxa"/>
            <w:tcBorders>
              <w:top w:val="single" w:color="000000" w:sz="4" w:space="0"/>
              <w:left w:val="single" w:color="auto" w:sz="2"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35"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hAnsi="宋体"/>
                <w:szCs w:val="28"/>
              </w:rPr>
            </w:pPr>
          </w:p>
        </w:tc>
        <w:tc>
          <w:tcPr>
            <w:tcW w:w="79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hAnsi="宋体"/>
                <w:szCs w:val="28"/>
              </w:rPr>
            </w:pPr>
          </w:p>
        </w:tc>
        <w:tc>
          <w:tcPr>
            <w:tcW w:w="765" w:type="dxa"/>
            <w:tcBorders>
              <w:top w:val="single" w:color="000000" w:sz="4" w:space="0"/>
              <w:left w:val="single" w:color="000000" w:sz="4" w:space="0"/>
              <w:bottom w:val="single" w:color="000000" w:sz="4" w:space="0"/>
              <w:right w:val="single" w:color="000000" w:sz="6" w:space="0"/>
            </w:tcBorders>
            <w:vAlign w:val="center"/>
          </w:tcPr>
          <w:p>
            <w:pPr>
              <w:pStyle w:val="49"/>
              <w:spacing w:line="240" w:lineRule="auto"/>
              <w:ind w:firstLine="0" w:firstLineChars="0"/>
              <w:jc w:val="both"/>
              <w:rPr>
                <w:rFonts w:ascii="宋体" w:hAnsi="宋体" w:cs="Times New Roman"/>
                <w:sz w:val="28"/>
                <w:szCs w:val="28"/>
              </w:rPr>
            </w:pPr>
          </w:p>
        </w:tc>
        <w:tc>
          <w:tcPr>
            <w:tcW w:w="630" w:type="dxa"/>
            <w:tcBorders>
              <w:top w:val="single" w:color="000000" w:sz="4" w:space="0"/>
              <w:left w:val="single" w:color="000000" w:sz="6" w:space="0"/>
              <w:bottom w:val="single" w:color="000000" w:sz="4" w:space="0"/>
              <w:right w:val="single" w:color="000000" w:sz="4" w:space="0"/>
            </w:tcBorders>
            <w:vAlign w:val="center"/>
          </w:tcPr>
          <w:p>
            <w:pPr>
              <w:pStyle w:val="49"/>
              <w:spacing w:line="240" w:lineRule="auto"/>
              <w:ind w:firstLine="0" w:firstLineChars="0"/>
              <w:jc w:val="both"/>
              <w:rPr>
                <w:rFonts w:ascii="宋体" w:hAnsi="宋体" w:cs="Times New Roman"/>
                <w:sz w:val="28"/>
                <w:szCs w:val="28"/>
              </w:rPr>
            </w:pPr>
          </w:p>
        </w:tc>
      </w:tr>
    </w:tbl>
    <w:p>
      <w:pPr>
        <w:tabs>
          <w:tab w:val="left" w:pos="8826"/>
        </w:tabs>
        <w:spacing w:line="261" w:lineRule="exact"/>
        <w:ind w:firstLine="560"/>
        <w:rPr>
          <w:rFonts w:ascii="宋体" w:hAnsi="宋体" w:cs="宋体"/>
          <w:szCs w:val="21"/>
        </w:rPr>
      </w:pPr>
    </w:p>
    <w:p>
      <w:pPr>
        <w:tabs>
          <w:tab w:val="left" w:pos="8826"/>
        </w:tabs>
        <w:spacing w:line="261" w:lineRule="exact"/>
        <w:ind w:firstLine="180" w:firstLineChars="100"/>
        <w:rPr>
          <w:rFonts w:ascii="宋体" w:hAnsi="宋体" w:cs="宋体"/>
          <w:spacing w:val="1"/>
          <w:sz w:val="18"/>
          <w:szCs w:val="18"/>
        </w:rPr>
      </w:pPr>
      <w:r>
        <w:rPr>
          <w:rFonts w:hint="eastAsia" w:ascii="宋体" w:hAnsi="宋体" w:cs="宋体"/>
          <w:sz w:val="18"/>
          <w:szCs w:val="18"/>
        </w:rPr>
        <w:t>注</w:t>
      </w:r>
      <w:r>
        <w:rPr>
          <w:rFonts w:ascii="宋体" w:hAnsi="宋体" w:cs="宋体"/>
          <w:spacing w:val="1"/>
          <w:sz w:val="18"/>
          <w:szCs w:val="18"/>
        </w:rPr>
        <w:t>:</w:t>
      </w:r>
      <w:r>
        <w:rPr>
          <w:rFonts w:hint="eastAsia" w:ascii="宋体" w:hAnsi="宋体" w:cs="宋体"/>
          <w:spacing w:val="1"/>
          <w:sz w:val="18"/>
          <w:szCs w:val="18"/>
        </w:rPr>
        <w:t>1.此表由招标人填写除“数量”、“合价”栏之外的内容，“数量”、“合价”由投标人填写。</w:t>
      </w:r>
    </w:p>
    <w:p>
      <w:pPr>
        <w:tabs>
          <w:tab w:val="left" w:pos="8826"/>
        </w:tabs>
        <w:spacing w:line="261" w:lineRule="exact"/>
        <w:ind w:firstLine="455" w:firstLineChars="250"/>
        <w:rPr>
          <w:rFonts w:ascii="宋体" w:hAnsi="宋体" w:cs="宋体"/>
          <w:spacing w:val="1"/>
          <w:sz w:val="18"/>
          <w:szCs w:val="18"/>
        </w:rPr>
      </w:pPr>
      <w:r>
        <w:rPr>
          <w:rFonts w:hint="eastAsia" w:ascii="宋体" w:hAnsi="宋体" w:cs="宋体"/>
          <w:spacing w:val="1"/>
          <w:sz w:val="18"/>
          <w:szCs w:val="18"/>
        </w:rPr>
        <w:t>2.结算时，“单价”栏按招标人实际采购价（包含采保费）列入。</w:t>
      </w:r>
    </w:p>
    <w:p>
      <w:pPr>
        <w:tabs>
          <w:tab w:val="left" w:pos="8826"/>
        </w:tabs>
        <w:spacing w:line="261" w:lineRule="exact"/>
        <w:ind w:firstLine="8100" w:firstLineChars="4500"/>
        <w:rPr>
          <w:rFonts w:ascii="宋体" w:hAnsi="宋体"/>
          <w:sz w:val="18"/>
          <w:szCs w:val="18"/>
        </w:rPr>
      </w:pPr>
      <w:r>
        <w:rPr>
          <w:rFonts w:hint="eastAsia" w:ascii="宋体" w:hAnsi="宋体" w:cs="宋体"/>
          <w:sz w:val="18"/>
          <w:szCs w:val="18"/>
        </w:rPr>
        <w:t>表</w:t>
      </w:r>
      <w:r>
        <w:rPr>
          <w:rFonts w:ascii="宋体" w:hAnsi="宋体" w:cs="宋体"/>
          <w:sz w:val="18"/>
          <w:szCs w:val="18"/>
        </w:rPr>
        <w:t>-20</w:t>
      </w:r>
    </w:p>
    <w:p>
      <w:pPr>
        <w:spacing w:line="261" w:lineRule="exact"/>
        <w:ind w:firstLine="360"/>
        <w:rPr>
          <w:rFonts w:ascii="宋体" w:hAnsi="宋体"/>
          <w:sz w:val="18"/>
          <w:szCs w:val="18"/>
        </w:rPr>
        <w:sectPr>
          <w:pgSz w:w="11907" w:h="16840"/>
          <w:pgMar w:top="1587" w:right="1474" w:bottom="1474" w:left="1474" w:header="0" w:footer="975" w:gutter="0"/>
          <w:pgNumType w:fmt="decimal"/>
          <w:cols w:space="0" w:num="1"/>
        </w:sectPr>
      </w:pPr>
    </w:p>
    <w:p>
      <w:pPr>
        <w:pStyle w:val="48"/>
        <w:tabs>
          <w:tab w:val="left" w:pos="707"/>
        </w:tabs>
        <w:ind w:firstLine="724"/>
        <w:jc w:val="center"/>
        <w:outlineLvl w:val="2"/>
        <w:rPr>
          <w:rFonts w:ascii="方正小标宋_GBK" w:eastAsia="方正小标宋_GBK" w:cs="Times New Roman"/>
          <w:spacing w:val="1"/>
          <w:sz w:val="36"/>
          <w:szCs w:val="36"/>
          <w:lang w:eastAsia="zh-CN"/>
        </w:rPr>
      </w:pPr>
      <w:bookmarkStart w:id="745" w:name="_Toc359844005"/>
      <w:bookmarkStart w:id="746" w:name="_Toc24856"/>
      <w:bookmarkStart w:id="747" w:name="_Toc30020"/>
      <w:bookmarkStart w:id="748" w:name="_Toc5928"/>
      <w:bookmarkStart w:id="749" w:name="_Toc359930038"/>
      <w:bookmarkStart w:id="750" w:name="_Toc359843546"/>
      <w:bookmarkStart w:id="751" w:name="_Toc7180"/>
      <w:r>
        <w:rPr>
          <w:rFonts w:hint="eastAsia" w:ascii="方正小标宋_GBK" w:eastAsia="方正小标宋_GBK"/>
          <w:spacing w:val="1"/>
          <w:sz w:val="36"/>
          <w:szCs w:val="36"/>
          <w:lang w:eastAsia="zh-CN"/>
        </w:rPr>
        <w:t>L.2</w:t>
      </w:r>
      <w:r>
        <w:rPr>
          <w:rFonts w:hint="eastAsia" w:ascii="方正小标宋_GBK" w:eastAsia="方正小标宋_GBK" w:cs="Times New Roman"/>
          <w:spacing w:val="1"/>
          <w:sz w:val="36"/>
          <w:szCs w:val="36"/>
          <w:lang w:eastAsia="zh-CN"/>
        </w:rPr>
        <w:tab/>
      </w:r>
      <w:r>
        <w:rPr>
          <w:rFonts w:hint="eastAsia" w:ascii="方正小标宋_GBK" w:eastAsia="方正小标宋_GBK"/>
          <w:spacing w:val="1"/>
          <w:sz w:val="36"/>
          <w:szCs w:val="36"/>
          <w:lang w:eastAsia="zh-CN"/>
        </w:rPr>
        <w:t>承包人提供主要材料和工程设备一览表</w:t>
      </w:r>
      <w:bookmarkEnd w:id="745"/>
      <w:bookmarkEnd w:id="746"/>
      <w:bookmarkEnd w:id="747"/>
      <w:bookmarkEnd w:id="748"/>
      <w:bookmarkEnd w:id="749"/>
      <w:bookmarkEnd w:id="750"/>
      <w:bookmarkEnd w:id="751"/>
    </w:p>
    <w:p>
      <w:pPr>
        <w:pStyle w:val="47"/>
        <w:spacing w:before="8"/>
        <w:ind w:firstLine="484"/>
        <w:jc w:val="center"/>
        <w:rPr>
          <w:rFonts w:cs="Times New Roman"/>
          <w:sz w:val="24"/>
          <w:szCs w:val="24"/>
          <w:lang w:eastAsia="zh-CN"/>
        </w:rPr>
      </w:pPr>
      <w:r>
        <w:rPr>
          <w:spacing w:val="1"/>
          <w:sz w:val="24"/>
          <w:szCs w:val="24"/>
          <w:lang w:eastAsia="zh-CN"/>
        </w:rPr>
        <w:t>(</w:t>
      </w:r>
      <w:r>
        <w:rPr>
          <w:rFonts w:hint="eastAsia"/>
          <w:spacing w:val="1"/>
          <w:sz w:val="24"/>
          <w:szCs w:val="24"/>
          <w:lang w:eastAsia="zh-CN"/>
        </w:rPr>
        <w:t>适用于造价信息差额调整法</w:t>
      </w:r>
      <w:r>
        <w:rPr>
          <w:spacing w:val="1"/>
          <w:sz w:val="24"/>
          <w:szCs w:val="24"/>
          <w:lang w:eastAsia="zh-CN"/>
        </w:rPr>
        <w:t>)</w:t>
      </w:r>
    </w:p>
    <w:p>
      <w:pPr>
        <w:spacing w:before="19" w:line="200" w:lineRule="exact"/>
        <w:ind w:firstLine="400"/>
        <w:rPr>
          <w:rFonts w:ascii="宋体"/>
          <w:sz w:val="20"/>
        </w:rPr>
      </w:pPr>
    </w:p>
    <w:p>
      <w:pPr>
        <w:pStyle w:val="8"/>
        <w:tabs>
          <w:tab w:val="left" w:pos="4094"/>
          <w:tab w:val="left" w:pos="7455"/>
          <w:tab w:val="left" w:pos="7981"/>
          <w:tab w:val="left" w:pos="8715"/>
        </w:tabs>
        <w:ind w:firstLine="0" w:firstLineChars="0"/>
        <w:rPr>
          <w:sz w:val="24"/>
          <w:szCs w:val="24"/>
        </w:rPr>
      </w:pPr>
      <w:r>
        <w:rPr>
          <w:rFonts w:hint="eastAsia"/>
          <w:sz w:val="24"/>
          <w:szCs w:val="24"/>
        </w:rPr>
        <w:t>工</w:t>
      </w:r>
      <w:r>
        <w:rPr>
          <w:rFonts w:hint="eastAsia"/>
          <w:spacing w:val="-3"/>
          <w:sz w:val="24"/>
          <w:szCs w:val="24"/>
        </w:rPr>
        <w:t>程</w:t>
      </w:r>
      <w:r>
        <w:rPr>
          <w:rFonts w:hint="eastAsia"/>
          <w:sz w:val="24"/>
          <w:szCs w:val="24"/>
        </w:rPr>
        <w:t>名</w:t>
      </w:r>
      <w:r>
        <w:rPr>
          <w:rFonts w:hint="eastAsia"/>
          <w:spacing w:val="-3"/>
          <w:sz w:val="24"/>
          <w:szCs w:val="24"/>
        </w:rPr>
        <w:t>称</w:t>
      </w:r>
      <w:r>
        <w:rPr>
          <w:rFonts w:hint="eastAsia"/>
          <w:sz w:val="24"/>
          <w:szCs w:val="24"/>
        </w:rPr>
        <w:t>：                         标</w:t>
      </w:r>
      <w:r>
        <w:rPr>
          <w:rFonts w:hint="eastAsia"/>
          <w:spacing w:val="-3"/>
          <w:sz w:val="24"/>
          <w:szCs w:val="24"/>
        </w:rPr>
        <w:t>段</w:t>
      </w:r>
      <w:r>
        <w:rPr>
          <w:rFonts w:hint="eastAsia"/>
          <w:sz w:val="24"/>
          <w:szCs w:val="24"/>
        </w:rPr>
        <w:t xml:space="preserve">：             第    </w:t>
      </w:r>
      <w:r>
        <w:rPr>
          <w:rFonts w:hint="eastAsia"/>
          <w:spacing w:val="-3"/>
          <w:sz w:val="24"/>
          <w:szCs w:val="24"/>
        </w:rPr>
        <w:t>页</w:t>
      </w:r>
      <w:r>
        <w:rPr>
          <w:rFonts w:hint="eastAsia"/>
          <w:sz w:val="24"/>
          <w:szCs w:val="24"/>
        </w:rPr>
        <w:t>共    页</w:t>
      </w:r>
    </w:p>
    <w:p>
      <w:pPr>
        <w:spacing w:before="9" w:line="40" w:lineRule="exact"/>
        <w:ind w:firstLine="80"/>
        <w:rPr>
          <w:rFonts w:ascii="宋体"/>
          <w:sz w:val="4"/>
          <w:szCs w:val="4"/>
        </w:rPr>
      </w:pPr>
    </w:p>
    <w:tbl>
      <w:tblPr>
        <w:tblStyle w:val="22"/>
        <w:tblW w:w="9252" w:type="dxa"/>
        <w:jc w:val="center"/>
        <w:tblLayout w:type="fixed"/>
        <w:tblCellMar>
          <w:top w:w="0" w:type="dxa"/>
          <w:left w:w="0" w:type="dxa"/>
          <w:bottom w:w="0" w:type="dxa"/>
          <w:right w:w="0" w:type="dxa"/>
        </w:tblCellMar>
      </w:tblPr>
      <w:tblGrid>
        <w:gridCol w:w="649"/>
        <w:gridCol w:w="1341"/>
        <w:gridCol w:w="1575"/>
        <w:gridCol w:w="758"/>
        <w:gridCol w:w="758"/>
        <w:gridCol w:w="850"/>
        <w:gridCol w:w="851"/>
        <w:gridCol w:w="851"/>
        <w:gridCol w:w="851"/>
        <w:gridCol w:w="768"/>
      </w:tblGrid>
      <w:tr>
        <w:trPr>
          <w:trHeight w:val="1238"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序号</w:t>
            </w:r>
          </w:p>
        </w:tc>
        <w:tc>
          <w:tcPr>
            <w:tcW w:w="134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hAnsi="宋体" w:cs="宋体"/>
                <w:sz w:val="18"/>
                <w:szCs w:val="18"/>
                <w:lang w:eastAsia="zh-CN"/>
              </w:rPr>
            </w:pPr>
            <w:r>
              <w:rPr>
                <w:rFonts w:hint="eastAsia" w:ascii="宋体" w:hAnsi="宋体" w:cs="宋体"/>
                <w:sz w:val="18"/>
                <w:szCs w:val="18"/>
                <w:lang w:eastAsia="zh-CN"/>
              </w:rPr>
              <w:t>材料编码</w:t>
            </w:r>
          </w:p>
        </w:tc>
        <w:tc>
          <w:tcPr>
            <w:tcW w:w="1575"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名称、规格、型号</w:t>
            </w:r>
          </w:p>
        </w:tc>
        <w:tc>
          <w:tcPr>
            <w:tcW w:w="758"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单位</w:t>
            </w:r>
          </w:p>
        </w:tc>
        <w:tc>
          <w:tcPr>
            <w:tcW w:w="758"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数量</w:t>
            </w:r>
          </w:p>
        </w:tc>
        <w:tc>
          <w:tcPr>
            <w:tcW w:w="85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风险系数</w:t>
            </w:r>
            <w:r>
              <w:rPr>
                <w:rFonts w:hint="eastAsia" w:ascii="宋体" w:hAnsi="宋体" w:cs="宋体"/>
                <w:sz w:val="18"/>
                <w:szCs w:val="18"/>
              </w:rPr>
              <w:t>（</w:t>
            </w:r>
            <w:r>
              <w:rPr>
                <w:rFonts w:ascii="宋体" w:hAnsi="宋体" w:cs="宋体"/>
                <w:spacing w:val="1"/>
                <w:sz w:val="18"/>
                <w:szCs w:val="18"/>
              </w:rPr>
              <w:t>%</w:t>
            </w:r>
            <w:r>
              <w:rPr>
                <w:rFonts w:hint="eastAsia" w:ascii="宋体" w:hAnsi="宋体" w:cs="宋体"/>
                <w:sz w:val="18"/>
                <w:szCs w:val="18"/>
              </w:rPr>
              <w:t>）</w:t>
            </w:r>
          </w:p>
        </w:tc>
        <w:tc>
          <w:tcPr>
            <w:tcW w:w="85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基准单价</w:t>
            </w:r>
            <w:r>
              <w:rPr>
                <w:rFonts w:hint="eastAsia" w:ascii="宋体" w:hAnsi="宋体" w:cs="宋体"/>
                <w:sz w:val="18"/>
                <w:szCs w:val="18"/>
              </w:rPr>
              <w:t>（元）</w:t>
            </w:r>
          </w:p>
        </w:tc>
        <w:tc>
          <w:tcPr>
            <w:tcW w:w="85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投标单价</w:t>
            </w:r>
            <w:r>
              <w:rPr>
                <w:rFonts w:hint="eastAsia" w:ascii="宋体" w:hAnsi="宋体" w:cs="宋体"/>
                <w:sz w:val="18"/>
                <w:szCs w:val="18"/>
              </w:rPr>
              <w:t>（元）</w:t>
            </w:r>
          </w:p>
        </w:tc>
        <w:tc>
          <w:tcPr>
            <w:tcW w:w="85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发承包人确认单价（元）</w:t>
            </w:r>
          </w:p>
        </w:tc>
        <w:tc>
          <w:tcPr>
            <w:tcW w:w="768"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r>
              <w:rPr>
                <w:rFonts w:hint="eastAsia" w:ascii="宋体" w:hAnsi="宋体" w:cs="宋体"/>
                <w:sz w:val="18"/>
                <w:szCs w:val="18"/>
                <w:lang w:eastAsia="zh-CN"/>
              </w:rPr>
              <w:t>备注</w:t>
            </w:r>
          </w:p>
        </w:tc>
      </w:tr>
      <w:tr>
        <w:tblPrEx>
          <w:tblCellMar>
            <w:top w:w="0" w:type="dxa"/>
            <w:left w:w="0" w:type="dxa"/>
            <w:bottom w:w="0" w:type="dxa"/>
            <w:right w:w="0" w:type="dxa"/>
          </w:tblCellMar>
        </w:tblPrEx>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spacing w:line="240" w:lineRule="auto"/>
              <w:ind w:firstLine="0" w:firstLineChars="0"/>
              <w:rPr>
                <w:rFonts w:ascii="宋体"/>
              </w:rPr>
            </w:pPr>
          </w:p>
        </w:tc>
        <w:tc>
          <w:tcPr>
            <w:tcW w:w="1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58" w:type="dxa"/>
            <w:tcBorders>
              <w:top w:val="single" w:color="000000" w:sz="4" w:space="0"/>
              <w:left w:val="single" w:color="000000" w:sz="4" w:space="0"/>
              <w:bottom w:val="single" w:color="000000" w:sz="4" w:space="0"/>
              <w:right w:val="single" w:color="000000" w:sz="6" w:space="0"/>
            </w:tcBorders>
            <w:vAlign w:val="center"/>
          </w:tcPr>
          <w:p>
            <w:pPr>
              <w:spacing w:line="240" w:lineRule="auto"/>
              <w:ind w:firstLine="0" w:firstLineChars="0"/>
              <w:rPr>
                <w:rFonts w:ascii="宋体"/>
              </w:rPr>
            </w:pPr>
          </w:p>
        </w:tc>
        <w:tc>
          <w:tcPr>
            <w:tcW w:w="758" w:type="dxa"/>
            <w:tcBorders>
              <w:top w:val="single" w:color="000000" w:sz="4" w:space="0"/>
              <w:left w:val="single" w:color="000000" w:sz="6" w:space="0"/>
              <w:bottom w:val="single" w:color="000000" w:sz="4" w:space="0"/>
              <w:right w:val="single" w:color="000000" w:sz="4" w:space="0"/>
            </w:tcBorders>
            <w:vAlign w:val="center"/>
          </w:tcPr>
          <w:p>
            <w:pPr>
              <w:spacing w:line="240" w:lineRule="auto"/>
              <w:ind w:firstLine="0" w:firstLineChars="0"/>
              <w:rPr>
                <w:rFonts w:ascii="宋体"/>
              </w:rPr>
            </w:pPr>
          </w:p>
        </w:tc>
        <w:tc>
          <w:tcPr>
            <w:tcW w:w="850"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851"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c>
          <w:tcPr>
            <w:tcW w:w="768"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rPr>
                <w:rFonts w:ascii="宋体"/>
              </w:rPr>
            </w:pPr>
          </w:p>
        </w:tc>
      </w:tr>
      <w:tr>
        <w:trPr>
          <w:trHeight w:val="680" w:hRule="exact"/>
          <w:jc w:val="center"/>
        </w:trPr>
        <w:tc>
          <w:tcPr>
            <w:tcW w:w="649"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c>
          <w:tcPr>
            <w:tcW w:w="1341" w:type="dxa"/>
            <w:tcBorders>
              <w:top w:val="single" w:color="000000" w:sz="4" w:space="0"/>
              <w:left w:val="single" w:color="000000" w:sz="4" w:space="0"/>
              <w:bottom w:val="single" w:color="000000" w:sz="4" w:space="0"/>
              <w:right w:val="single" w:color="000000" w:sz="4" w:space="0"/>
            </w:tcBorders>
          </w:tcPr>
          <w:p>
            <w:pPr>
              <w:pStyle w:val="49"/>
              <w:tabs>
                <w:tab w:val="left" w:pos="542"/>
              </w:tabs>
              <w:spacing w:line="240" w:lineRule="auto"/>
              <w:ind w:firstLine="0" w:firstLineChars="0"/>
              <w:jc w:val="center"/>
              <w:rPr>
                <w:rFonts w:ascii="宋体" w:cs="Times New Roman"/>
                <w:sz w:val="18"/>
                <w:szCs w:val="18"/>
                <w:lang w:eastAsia="zh-CN"/>
              </w:rPr>
            </w:pPr>
          </w:p>
        </w:tc>
        <w:tc>
          <w:tcPr>
            <w:tcW w:w="1575" w:type="dxa"/>
            <w:tcBorders>
              <w:top w:val="single" w:color="000000" w:sz="4" w:space="0"/>
              <w:left w:val="single" w:color="000000" w:sz="4" w:space="0"/>
              <w:bottom w:val="single" w:color="000000" w:sz="4" w:space="0"/>
              <w:right w:val="single" w:color="000000" w:sz="6" w:space="0"/>
            </w:tcBorders>
            <w:vAlign w:val="center"/>
          </w:tcPr>
          <w:p>
            <w:pPr>
              <w:pStyle w:val="49"/>
              <w:tabs>
                <w:tab w:val="left" w:pos="542"/>
              </w:tabs>
              <w:spacing w:line="240" w:lineRule="auto"/>
              <w:ind w:firstLine="0" w:firstLineChars="0"/>
              <w:jc w:val="center"/>
              <w:rPr>
                <w:rFonts w:ascii="宋体" w:cs="Times New Roman"/>
                <w:sz w:val="18"/>
                <w:szCs w:val="18"/>
                <w:lang w:eastAsia="zh-CN"/>
              </w:rPr>
            </w:pPr>
          </w:p>
        </w:tc>
        <w:tc>
          <w:tcPr>
            <w:tcW w:w="758" w:type="dxa"/>
            <w:tcBorders>
              <w:top w:val="single" w:color="000000" w:sz="4" w:space="0"/>
              <w:left w:val="single" w:color="000000" w:sz="6" w:space="0"/>
              <w:bottom w:val="single" w:color="000000" w:sz="4" w:space="0"/>
              <w:right w:val="single" w:color="000000" w:sz="4" w:space="0"/>
            </w:tcBorders>
            <w:vAlign w:val="center"/>
          </w:tcPr>
          <w:p>
            <w:pPr>
              <w:pStyle w:val="49"/>
              <w:tabs>
                <w:tab w:val="left" w:pos="542"/>
              </w:tabs>
              <w:spacing w:line="240" w:lineRule="auto"/>
              <w:ind w:firstLine="0" w:firstLineChars="0"/>
              <w:jc w:val="center"/>
              <w:rPr>
                <w:rFonts w:ascii="宋体" w:cs="Times New Roman"/>
                <w:sz w:val="18"/>
                <w:szCs w:val="18"/>
                <w:lang w:eastAsia="zh-CN"/>
              </w:rPr>
            </w:pPr>
          </w:p>
        </w:tc>
        <w:tc>
          <w:tcPr>
            <w:tcW w:w="758" w:type="dxa"/>
            <w:tcBorders>
              <w:top w:val="single" w:color="000000" w:sz="4" w:space="0"/>
              <w:left w:val="single" w:color="000000" w:sz="6" w:space="0"/>
              <w:bottom w:val="single" w:color="000000" w:sz="4" w:space="0"/>
              <w:right w:val="single" w:color="000000" w:sz="4" w:space="0"/>
            </w:tcBorders>
            <w:vAlign w:val="center"/>
          </w:tcPr>
          <w:p>
            <w:pPr>
              <w:pStyle w:val="49"/>
              <w:tabs>
                <w:tab w:val="left" w:pos="542"/>
              </w:tabs>
              <w:spacing w:line="240" w:lineRule="auto"/>
              <w:ind w:left="199" w:firstLine="0" w:firstLineChars="0"/>
              <w:jc w:val="center"/>
              <w:rPr>
                <w:rFonts w:ascii="宋体" w:cs="Times New Roman"/>
                <w:sz w:val="18"/>
                <w:szCs w:val="18"/>
                <w:lang w:eastAsia="zh-CN"/>
              </w:rPr>
            </w:pPr>
          </w:p>
        </w:tc>
        <w:tc>
          <w:tcPr>
            <w:tcW w:w="850"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rPr>
                <w:rFonts w:ascii="宋体" w:cs="Times New Roman"/>
                <w:lang w:eastAsia="zh-CN"/>
              </w:rPr>
            </w:pPr>
          </w:p>
        </w:tc>
        <w:tc>
          <w:tcPr>
            <w:tcW w:w="85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jc w:val="center"/>
              <w:rPr>
                <w:rFonts w:ascii="宋体" w:cs="Times New Roman"/>
                <w:sz w:val="18"/>
                <w:szCs w:val="18"/>
              </w:rPr>
            </w:pPr>
          </w:p>
        </w:tc>
        <w:tc>
          <w:tcPr>
            <w:tcW w:w="85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c>
          <w:tcPr>
            <w:tcW w:w="851"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c>
          <w:tcPr>
            <w:tcW w:w="768" w:type="dxa"/>
            <w:tcBorders>
              <w:top w:val="single" w:color="000000" w:sz="4" w:space="0"/>
              <w:left w:val="single" w:color="000000" w:sz="4" w:space="0"/>
              <w:bottom w:val="single" w:color="000000" w:sz="4"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r>
      <w:tr>
        <w:trPr>
          <w:trHeight w:val="680" w:hRule="exact"/>
          <w:jc w:val="center"/>
        </w:trPr>
        <w:tc>
          <w:tcPr>
            <w:tcW w:w="649"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p>
            <w:pPr>
              <w:pStyle w:val="49"/>
              <w:spacing w:line="240" w:lineRule="auto"/>
              <w:ind w:firstLine="0" w:firstLineChars="0"/>
              <w:rPr>
                <w:rFonts w:ascii="宋体" w:cs="Times New Roman"/>
                <w:sz w:val="14"/>
                <w:szCs w:val="14"/>
                <w:lang w:eastAsia="zh-CN"/>
              </w:rPr>
            </w:pPr>
          </w:p>
        </w:tc>
        <w:tc>
          <w:tcPr>
            <w:tcW w:w="1341" w:type="dxa"/>
            <w:tcBorders>
              <w:top w:val="single" w:color="000000" w:sz="4" w:space="0"/>
              <w:left w:val="single" w:color="000000" w:sz="4" w:space="0"/>
              <w:bottom w:val="single" w:color="auto" w:sz="2" w:space="0"/>
              <w:right w:val="single" w:color="000000" w:sz="4" w:space="0"/>
            </w:tcBorders>
          </w:tcPr>
          <w:p>
            <w:pPr>
              <w:pStyle w:val="49"/>
              <w:tabs>
                <w:tab w:val="left" w:pos="542"/>
              </w:tabs>
              <w:spacing w:line="240" w:lineRule="auto"/>
              <w:ind w:firstLine="0" w:firstLineChars="0"/>
              <w:jc w:val="center"/>
              <w:rPr>
                <w:rFonts w:ascii="宋体" w:cs="Times New Roman"/>
                <w:sz w:val="18"/>
                <w:szCs w:val="18"/>
                <w:lang w:eastAsia="zh-CN"/>
              </w:rPr>
            </w:pPr>
          </w:p>
        </w:tc>
        <w:tc>
          <w:tcPr>
            <w:tcW w:w="1575" w:type="dxa"/>
            <w:tcBorders>
              <w:top w:val="single" w:color="000000" w:sz="4" w:space="0"/>
              <w:left w:val="single" w:color="000000" w:sz="4" w:space="0"/>
              <w:bottom w:val="single" w:color="auto" w:sz="2" w:space="0"/>
              <w:right w:val="single" w:color="000000" w:sz="6" w:space="0"/>
            </w:tcBorders>
            <w:vAlign w:val="center"/>
          </w:tcPr>
          <w:p>
            <w:pPr>
              <w:pStyle w:val="49"/>
              <w:tabs>
                <w:tab w:val="left" w:pos="542"/>
              </w:tabs>
              <w:spacing w:line="240" w:lineRule="auto"/>
              <w:ind w:firstLine="0" w:firstLineChars="0"/>
              <w:jc w:val="center"/>
              <w:rPr>
                <w:rFonts w:ascii="宋体" w:cs="Times New Roman"/>
                <w:sz w:val="18"/>
                <w:szCs w:val="18"/>
                <w:lang w:eastAsia="zh-CN"/>
              </w:rPr>
            </w:pPr>
          </w:p>
        </w:tc>
        <w:tc>
          <w:tcPr>
            <w:tcW w:w="758" w:type="dxa"/>
            <w:tcBorders>
              <w:top w:val="single" w:color="000000" w:sz="4" w:space="0"/>
              <w:left w:val="single" w:color="000000" w:sz="6" w:space="0"/>
              <w:bottom w:val="single" w:color="auto" w:sz="2" w:space="0"/>
              <w:right w:val="single" w:color="000000" w:sz="4" w:space="0"/>
            </w:tcBorders>
            <w:vAlign w:val="center"/>
          </w:tcPr>
          <w:p>
            <w:pPr>
              <w:pStyle w:val="49"/>
              <w:tabs>
                <w:tab w:val="left" w:pos="542"/>
              </w:tabs>
              <w:spacing w:line="240" w:lineRule="auto"/>
              <w:ind w:firstLine="0" w:firstLineChars="0"/>
              <w:jc w:val="center"/>
              <w:rPr>
                <w:rFonts w:ascii="宋体" w:cs="Times New Roman"/>
                <w:sz w:val="18"/>
                <w:szCs w:val="18"/>
                <w:lang w:eastAsia="zh-CN"/>
              </w:rPr>
            </w:pPr>
          </w:p>
        </w:tc>
        <w:tc>
          <w:tcPr>
            <w:tcW w:w="758" w:type="dxa"/>
            <w:tcBorders>
              <w:top w:val="single" w:color="000000" w:sz="4" w:space="0"/>
              <w:left w:val="single" w:color="000000" w:sz="6" w:space="0"/>
              <w:bottom w:val="single" w:color="auto" w:sz="2" w:space="0"/>
              <w:right w:val="single" w:color="000000" w:sz="4" w:space="0"/>
            </w:tcBorders>
            <w:vAlign w:val="center"/>
          </w:tcPr>
          <w:p>
            <w:pPr>
              <w:pStyle w:val="49"/>
              <w:tabs>
                <w:tab w:val="left" w:pos="542"/>
              </w:tabs>
              <w:spacing w:line="240" w:lineRule="auto"/>
              <w:ind w:left="199" w:firstLine="0" w:firstLineChars="0"/>
              <w:jc w:val="center"/>
              <w:rPr>
                <w:rFonts w:ascii="宋体" w:cs="Times New Roman"/>
                <w:sz w:val="18"/>
                <w:szCs w:val="18"/>
                <w:lang w:eastAsia="zh-CN"/>
              </w:rPr>
            </w:pPr>
          </w:p>
        </w:tc>
        <w:tc>
          <w:tcPr>
            <w:tcW w:w="850"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rPr>
                <w:rFonts w:ascii="宋体" w:cs="Times New Roman"/>
                <w:lang w:eastAsia="zh-CN"/>
              </w:rPr>
            </w:pPr>
          </w:p>
        </w:tc>
        <w:tc>
          <w:tcPr>
            <w:tcW w:w="851"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jc w:val="center"/>
              <w:rPr>
                <w:rFonts w:ascii="宋体" w:cs="Times New Roman"/>
                <w:sz w:val="18"/>
                <w:szCs w:val="18"/>
              </w:rPr>
            </w:pPr>
          </w:p>
        </w:tc>
        <w:tc>
          <w:tcPr>
            <w:tcW w:w="851"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c>
          <w:tcPr>
            <w:tcW w:w="851"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c>
          <w:tcPr>
            <w:tcW w:w="768" w:type="dxa"/>
            <w:tcBorders>
              <w:top w:val="single" w:color="000000" w:sz="4" w:space="0"/>
              <w:left w:val="single" w:color="000000" w:sz="4" w:space="0"/>
              <w:bottom w:val="single" w:color="auto" w:sz="2" w:space="0"/>
              <w:right w:val="single" w:color="000000" w:sz="4" w:space="0"/>
            </w:tcBorders>
            <w:vAlign w:val="center"/>
          </w:tcPr>
          <w:p>
            <w:pPr>
              <w:pStyle w:val="49"/>
              <w:spacing w:line="240" w:lineRule="auto"/>
              <w:ind w:firstLine="0" w:firstLineChars="0"/>
              <w:rPr>
                <w:rFonts w:ascii="宋体" w:cs="Times New Roman"/>
                <w:sz w:val="14"/>
                <w:szCs w:val="14"/>
                <w:lang w:eastAsia="zh-CN"/>
              </w:rPr>
            </w:pPr>
          </w:p>
        </w:tc>
      </w:tr>
    </w:tbl>
    <w:p>
      <w:pPr>
        <w:spacing w:line="243" w:lineRule="exact"/>
        <w:ind w:firstLine="90" w:firstLineChars="50"/>
        <w:rPr>
          <w:rFonts w:ascii="宋体" w:hAnsi="宋体" w:cs="宋体"/>
          <w:sz w:val="18"/>
          <w:szCs w:val="18"/>
        </w:rPr>
      </w:pPr>
    </w:p>
    <w:p>
      <w:pPr>
        <w:spacing w:line="243" w:lineRule="exact"/>
        <w:ind w:firstLine="90" w:firstLineChars="50"/>
        <w:rPr>
          <w:rFonts w:ascii="宋体"/>
          <w:sz w:val="18"/>
          <w:szCs w:val="18"/>
        </w:rPr>
      </w:pPr>
      <w:r>
        <w:rPr>
          <w:rFonts w:hint="eastAsia" w:ascii="宋体" w:hAnsi="宋体" w:cs="宋体"/>
          <w:sz w:val="18"/>
          <w:szCs w:val="18"/>
        </w:rPr>
        <w:t>注：</w:t>
      </w:r>
      <w:r>
        <w:rPr>
          <w:rFonts w:ascii="宋体" w:hAnsi="宋体" w:cs="宋体"/>
          <w:sz w:val="18"/>
          <w:szCs w:val="18"/>
        </w:rPr>
        <w:t>1</w:t>
      </w:r>
      <w:r>
        <w:rPr>
          <w:rFonts w:hint="eastAsia" w:ascii="宋体" w:hAnsi="宋体" w:cs="宋体"/>
          <w:sz w:val="18"/>
          <w:szCs w:val="18"/>
        </w:rPr>
        <w:t>.此表应由招标人填写除“数量”、“投标单价”栏之外的内容，投标人在投标时自主确定投标数量和单价。</w:t>
      </w:r>
    </w:p>
    <w:p>
      <w:pPr>
        <w:spacing w:line="243" w:lineRule="exact"/>
        <w:ind w:left="664" w:leftChars="205" w:hanging="90" w:hangingChars="50"/>
        <w:rPr>
          <w:rFonts w:ascii="宋体" w:hAnsi="宋体" w:cs="宋体"/>
          <w:sz w:val="18"/>
          <w:szCs w:val="18"/>
        </w:rPr>
      </w:pPr>
      <w:r>
        <w:rPr>
          <w:rFonts w:ascii="宋体" w:hAnsi="宋体" w:cs="宋体"/>
          <w:sz w:val="18"/>
          <w:szCs w:val="18"/>
        </w:rPr>
        <w:t>2</w:t>
      </w:r>
      <w:r>
        <w:rPr>
          <w:rFonts w:hint="eastAsia" w:ascii="宋体" w:hAnsi="宋体" w:cs="宋体"/>
          <w:sz w:val="18"/>
          <w:szCs w:val="18"/>
        </w:rPr>
        <w:t>.招标人应优先采用工程造价管理机构发布的单价作为基准单价，未发布的，通过市场调查确定其基准单价。</w:t>
      </w:r>
    </w:p>
    <w:p>
      <w:pPr>
        <w:spacing w:line="243" w:lineRule="exact"/>
        <w:ind w:left="664" w:leftChars="205" w:hanging="90" w:hangingChars="50"/>
        <w:rPr>
          <w:rFonts w:ascii="宋体"/>
          <w:sz w:val="18"/>
          <w:szCs w:val="18"/>
        </w:rPr>
      </w:pPr>
      <w:r>
        <w:rPr>
          <w:rFonts w:hint="eastAsia" w:ascii="宋体" w:hAnsi="宋体" w:cs="宋体"/>
          <w:sz w:val="18"/>
          <w:szCs w:val="18"/>
        </w:rPr>
        <w:t>3.此表中不包含暂估单价的材料（工程设备）。</w:t>
      </w:r>
    </w:p>
    <w:p>
      <w:pPr>
        <w:pStyle w:val="8"/>
        <w:spacing w:line="299" w:lineRule="exact"/>
        <w:ind w:firstLine="360"/>
        <w:jc w:val="right"/>
        <w:rPr>
          <w:sz w:val="18"/>
          <w:szCs w:val="18"/>
        </w:rPr>
      </w:pPr>
      <w:r>
        <w:rPr>
          <w:rFonts w:hint="eastAsia"/>
          <w:sz w:val="18"/>
          <w:szCs w:val="18"/>
        </w:rPr>
        <w:t>表</w:t>
      </w:r>
      <w:r>
        <w:rPr>
          <w:sz w:val="18"/>
          <w:szCs w:val="18"/>
        </w:rPr>
        <w:t>-21</w:t>
      </w:r>
    </w:p>
    <w:p>
      <w:pPr>
        <w:spacing w:line="460" w:lineRule="exact"/>
        <w:ind w:firstLine="560"/>
        <w:rPr>
          <w:rFonts w:ascii="仿宋_GB2312"/>
        </w:rPr>
      </w:pPr>
      <w:r>
        <w:rPr>
          <w:rFonts w:ascii="仿宋_GB2312"/>
        </w:rPr>
        <w:drawing>
          <wp:anchor distT="0" distB="0" distL="114300" distR="114300" simplePos="0" relativeHeight="251665408" behindDoc="1" locked="0" layoutInCell="1" allowOverlap="1">
            <wp:simplePos x="0" y="0"/>
            <wp:positionH relativeFrom="column">
              <wp:posOffset>-292100</wp:posOffset>
            </wp:positionH>
            <wp:positionV relativeFrom="paragraph">
              <wp:posOffset>177800</wp:posOffset>
            </wp:positionV>
            <wp:extent cx="6596380" cy="2419350"/>
            <wp:effectExtent l="0" t="0" r="0" b="0"/>
            <wp:wrapNone/>
            <wp:docPr id="40" name="图片 40"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8228" t="42141" r="4551"/>
                    <a:stretch>
                      <a:fillRect/>
                    </a:stretch>
                  </pic:blipFill>
                  <pic:spPr>
                    <a:xfrm>
                      <a:off x="0" y="0"/>
                      <a:ext cx="6596380" cy="2419350"/>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pStyle w:val="4"/>
      </w:pPr>
      <w:bookmarkStart w:id="752" w:name="_Toc5221"/>
      <w:bookmarkStart w:id="753" w:name="_Toc17718"/>
      <w:bookmarkStart w:id="754" w:name="_Toc22625"/>
      <w:bookmarkStart w:id="755" w:name="_Toc15556"/>
      <w:bookmarkStart w:id="756" w:name="_Toc5647"/>
      <w:bookmarkStart w:id="757" w:name="_Toc27466"/>
      <w:bookmarkStart w:id="758" w:name="_Toc2730"/>
      <w:r>
        <w:rPr>
          <w:rFonts w:hint="eastAsia"/>
        </w:rPr>
        <w:t>苏住建价〔2015〕1号</w:t>
      </w:r>
      <w:bookmarkEnd w:id="752"/>
      <w:bookmarkEnd w:id="753"/>
      <w:bookmarkEnd w:id="754"/>
      <w:bookmarkEnd w:id="755"/>
      <w:bookmarkEnd w:id="756"/>
      <w:bookmarkEnd w:id="757"/>
      <w:bookmarkEnd w:id="758"/>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600" w:lineRule="exact"/>
        <w:ind w:firstLine="880"/>
        <w:jc w:val="center"/>
        <w:rPr>
          <w:rFonts w:ascii="方正小标宋_GBK" w:hAnsi="宋体" w:eastAsia="方正小标宋_GBK"/>
          <w:sz w:val="44"/>
          <w:szCs w:val="44"/>
        </w:rPr>
      </w:pPr>
    </w:p>
    <w:p>
      <w:pPr>
        <w:pStyle w:val="3"/>
      </w:pPr>
      <w:bookmarkStart w:id="759" w:name="_Toc15399"/>
      <w:bookmarkStart w:id="760" w:name="_Toc21734"/>
      <w:bookmarkStart w:id="761" w:name="_Toc10661"/>
      <w:bookmarkStart w:id="762" w:name="_Toc25728"/>
      <w:bookmarkStart w:id="763" w:name="_Toc8650"/>
      <w:bookmarkStart w:id="764" w:name="_Toc9567"/>
      <w:bookmarkStart w:id="765" w:name="_Toc29189"/>
      <w:bookmarkStart w:id="766" w:name="_Toc31766"/>
      <w:bookmarkStart w:id="767" w:name="_Toc26722"/>
      <w:bookmarkStart w:id="768" w:name="_Toc32514"/>
      <w:bookmarkStart w:id="769" w:name="_Toc6502"/>
      <w:bookmarkStart w:id="770" w:name="_Toc28616"/>
      <w:bookmarkStart w:id="771" w:name="_Toc26305"/>
      <w:bookmarkStart w:id="772" w:name="_Toc9542"/>
      <w:r>
        <w:rPr>
          <w:rFonts w:hint="eastAsia"/>
        </w:rPr>
        <w:t>市住房城乡建设局关于转发《省住房城乡建设厅关于发布建设工程人工工资指导价</w:t>
      </w:r>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p>
    <w:p>
      <w:pPr>
        <w:pStyle w:val="3"/>
      </w:pPr>
      <w:bookmarkStart w:id="773" w:name="_Toc23709"/>
      <w:bookmarkStart w:id="774" w:name="_Toc17655"/>
      <w:bookmarkStart w:id="775" w:name="_Toc20202"/>
      <w:bookmarkStart w:id="776" w:name="_Toc28858"/>
      <w:bookmarkStart w:id="777" w:name="_Toc9684"/>
      <w:bookmarkStart w:id="778" w:name="_Toc11502"/>
      <w:bookmarkStart w:id="779" w:name="_Toc17854"/>
      <w:bookmarkStart w:id="780" w:name="_Toc22934"/>
      <w:bookmarkStart w:id="781" w:name="_Toc10724"/>
      <w:bookmarkStart w:id="782" w:name="_Toc22811"/>
      <w:bookmarkStart w:id="783" w:name="_Toc14823"/>
      <w:bookmarkStart w:id="784" w:name="_Toc9386"/>
      <w:bookmarkStart w:id="785" w:name="_Toc16214"/>
      <w:bookmarkStart w:id="786" w:name="_Toc6854"/>
      <w:r>
        <w:rPr>
          <w:rFonts w:hint="eastAsia"/>
        </w:rPr>
        <w:t>的通知》的通知</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pPr>
        <w:pStyle w:val="8"/>
        <w:spacing w:line="600" w:lineRule="exact"/>
        <w:ind w:firstLine="560"/>
        <w:rPr>
          <w:rFonts w:hAnsi="仿宋"/>
          <w:szCs w:val="32"/>
        </w:rPr>
      </w:pPr>
    </w:p>
    <w:p>
      <w:pPr>
        <w:ind w:firstLine="0" w:firstLineChars="0"/>
      </w:pPr>
      <w:r>
        <w:rPr>
          <w:rFonts w:hint="eastAsia"/>
        </w:rPr>
        <w:t>各市、区住建局，苏州工业园区规划建设局，市各有关委、办、局、公司：</w:t>
      </w:r>
    </w:p>
    <w:p>
      <w:pPr>
        <w:ind w:firstLine="560"/>
      </w:pPr>
      <w:r>
        <w:rPr>
          <w:rFonts w:hint="eastAsia"/>
        </w:rPr>
        <w:t>现将《省住房城乡建设厅关于发布建设工程人工工资指导价的通知》（苏建函价〔2015〕133号）转发给你们，请认真贯彻执行。</w:t>
      </w:r>
    </w:p>
    <w:p>
      <w:pPr>
        <w:ind w:firstLine="560"/>
      </w:pPr>
    </w:p>
    <w:p>
      <w:pPr>
        <w:ind w:firstLine="560"/>
      </w:pPr>
      <w:r>
        <w:rPr>
          <w:rFonts w:hint="eastAsia"/>
        </w:rPr>
        <w:t xml:space="preserve">                            </w:t>
      </w:r>
    </w:p>
    <w:p>
      <w:pPr>
        <w:ind w:firstLine="560"/>
      </w:pPr>
      <w:r>
        <w:rPr>
          <w:rFonts w:hint="eastAsia"/>
        </w:rPr>
        <w:t xml:space="preserve">                          苏州市住房和城乡建设局</w:t>
      </w:r>
    </w:p>
    <w:p>
      <w:pPr>
        <w:ind w:firstLine="560"/>
      </w:pPr>
      <w:r>
        <w:rPr>
          <w:rFonts w:hint="eastAsia"/>
        </w:rPr>
        <w:t xml:space="preserve">                              2015年3月3日 </w:t>
      </w:r>
    </w:p>
    <w:p>
      <w:pPr>
        <w:widowControl/>
        <w:spacing w:line="240" w:lineRule="auto"/>
        <w:ind w:firstLine="0" w:firstLineChars="0"/>
        <w:jc w:val="left"/>
        <w:rPr>
          <w:rFonts w:ascii="仿宋_GB2312"/>
        </w:rPr>
      </w:pPr>
      <w:r>
        <w:rPr>
          <w:rFonts w:ascii="仿宋_GB2312"/>
        </w:rPr>
        <w:br w:type="page"/>
      </w:r>
      <w:r>
        <w:rPr>
          <w:rFonts w:hint="eastAsia" w:ascii="仿宋_GB2312"/>
        </w:rPr>
        <w:t>附件：</w:t>
      </w:r>
    </w:p>
    <w:p>
      <w:pPr>
        <w:widowControl/>
        <w:spacing w:line="240" w:lineRule="auto"/>
        <w:ind w:firstLine="0" w:firstLineChars="0"/>
        <w:jc w:val="left"/>
        <w:rPr>
          <w:rFonts w:ascii="仿宋_GB2312"/>
        </w:rPr>
      </w:pPr>
      <w:r>
        <w:drawing>
          <wp:inline distT="0" distB="0" distL="0" distR="0">
            <wp:extent cx="5712460" cy="8032115"/>
            <wp:effectExtent l="0" t="0" r="254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5"/>
                    <a:srcRect l="6218" t="7139" r="4884" b="4477"/>
                    <a:stretch>
                      <a:fillRect/>
                    </a:stretch>
                  </pic:blipFill>
                  <pic:spPr>
                    <a:xfrm>
                      <a:off x="0" y="0"/>
                      <a:ext cx="5712460" cy="8032115"/>
                    </a:xfrm>
                    <a:prstGeom prst="rect">
                      <a:avLst/>
                    </a:prstGeom>
                  </pic:spPr>
                </pic:pic>
              </a:graphicData>
            </a:graphic>
          </wp:inline>
        </w:drawing>
      </w:r>
    </w:p>
    <w:p>
      <w:pPr>
        <w:widowControl/>
        <w:spacing w:line="240" w:lineRule="auto"/>
        <w:ind w:firstLine="560"/>
        <w:jc w:val="left"/>
        <w:rPr>
          <w:rFonts w:ascii="仿宋_GB2312"/>
        </w:rPr>
      </w:pPr>
      <w:r>
        <w:drawing>
          <wp:inline distT="0" distB="0" distL="0" distR="0">
            <wp:extent cx="4048125" cy="8435975"/>
            <wp:effectExtent l="0" t="0" r="9525"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6"/>
                    <a:srcRect l="8977" t="7435" r="31453" b="4781"/>
                    <a:stretch>
                      <a:fillRect/>
                    </a:stretch>
                  </pic:blipFill>
                  <pic:spPr>
                    <a:xfrm>
                      <a:off x="0" y="0"/>
                      <a:ext cx="4048125" cy="8435975"/>
                    </a:xfrm>
                    <a:prstGeom prst="rect">
                      <a:avLst/>
                    </a:prstGeom>
                  </pic:spPr>
                </pic:pic>
              </a:graphicData>
            </a:graphic>
          </wp:inline>
        </w:drawing>
      </w:r>
    </w:p>
    <w:p>
      <w:pPr>
        <w:widowControl/>
        <w:spacing w:line="240" w:lineRule="auto"/>
        <w:ind w:firstLine="560"/>
        <w:jc w:val="left"/>
        <w:rPr>
          <w:rFonts w:ascii="仿宋_GB2312"/>
        </w:rPr>
      </w:pPr>
    </w:p>
    <w:p>
      <w:pPr>
        <w:widowControl/>
        <w:spacing w:line="240" w:lineRule="auto"/>
        <w:ind w:firstLine="560"/>
        <w:jc w:val="left"/>
        <w:rPr>
          <w:rFonts w:ascii="仿宋_GB2312"/>
        </w:rPr>
      </w:pPr>
    </w:p>
    <w:p>
      <w:pPr>
        <w:widowControl/>
        <w:spacing w:line="240" w:lineRule="auto"/>
        <w:ind w:firstLine="560"/>
        <w:jc w:val="left"/>
        <w:rPr>
          <w:rFonts w:ascii="仿宋_GB2312"/>
        </w:rPr>
      </w:pPr>
      <w:r>
        <w:drawing>
          <wp:inline distT="0" distB="0" distL="0" distR="0">
            <wp:extent cx="3797300" cy="8081010"/>
            <wp:effectExtent l="0" t="0" r="12700" b="152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7"/>
                    <a:srcRect l="7044" t="7115" r="34833" b="5421"/>
                    <a:stretch>
                      <a:fillRect/>
                    </a:stretch>
                  </pic:blipFill>
                  <pic:spPr>
                    <a:xfrm>
                      <a:off x="0" y="0"/>
                      <a:ext cx="3797300" cy="8081010"/>
                    </a:xfrm>
                    <a:prstGeom prst="rect">
                      <a:avLst/>
                    </a:prstGeom>
                  </pic:spPr>
                </pic:pic>
              </a:graphicData>
            </a:graphic>
          </wp:inline>
        </w:drawing>
      </w:r>
    </w:p>
    <w:p>
      <w:pPr>
        <w:widowControl/>
        <w:spacing w:line="240" w:lineRule="auto"/>
        <w:ind w:firstLine="560"/>
        <w:jc w:val="left"/>
        <w:rPr>
          <w:rFonts w:ascii="仿宋_GB2312"/>
        </w:rPr>
      </w:pPr>
    </w:p>
    <w:p>
      <w:pPr>
        <w:widowControl/>
        <w:ind w:firstLine="560"/>
        <w:jc w:val="left"/>
        <w:rPr>
          <w:rFonts w:ascii="仿宋_GB2312"/>
        </w:rPr>
      </w:pPr>
      <w:r>
        <w:rPr>
          <w:rFonts w:ascii="仿宋_GB2312"/>
        </w:rPr>
        <w:drawing>
          <wp:anchor distT="0" distB="0" distL="114300" distR="114300" simplePos="0" relativeHeight="251664384" behindDoc="1" locked="0" layoutInCell="1" allowOverlap="1">
            <wp:simplePos x="0" y="0"/>
            <wp:positionH relativeFrom="column">
              <wp:posOffset>-212090</wp:posOffset>
            </wp:positionH>
            <wp:positionV relativeFrom="paragraph">
              <wp:posOffset>38735</wp:posOffset>
            </wp:positionV>
            <wp:extent cx="6170930" cy="2365375"/>
            <wp:effectExtent l="0" t="0" r="0" b="16510"/>
            <wp:wrapNone/>
            <wp:docPr id="33" name="图片 33"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9286" t="43432" r="9118"/>
                    <a:stretch>
                      <a:fillRect/>
                    </a:stretch>
                  </pic:blipFill>
                  <pic:spPr>
                    <a:xfrm>
                      <a:off x="0" y="0"/>
                      <a:ext cx="6170930" cy="2365375"/>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pStyle w:val="4"/>
      </w:pPr>
      <w:bookmarkStart w:id="787" w:name="_Toc12460"/>
      <w:bookmarkStart w:id="788" w:name="_Toc11625"/>
      <w:bookmarkStart w:id="789" w:name="_Toc2762"/>
      <w:bookmarkStart w:id="790" w:name="_Toc25800"/>
      <w:bookmarkStart w:id="791" w:name="_Toc28721"/>
      <w:bookmarkStart w:id="792" w:name="_Toc30008"/>
      <w:bookmarkStart w:id="793" w:name="_Toc27568"/>
      <w:r>
        <w:rPr>
          <w:rFonts w:hint="eastAsia"/>
        </w:rPr>
        <w:t>苏住建价〔2016〕3号</w:t>
      </w:r>
      <w:bookmarkEnd w:id="787"/>
      <w:bookmarkEnd w:id="788"/>
      <w:bookmarkEnd w:id="789"/>
      <w:bookmarkEnd w:id="790"/>
      <w:bookmarkEnd w:id="791"/>
      <w:bookmarkEnd w:id="792"/>
      <w:bookmarkEnd w:id="793"/>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480" w:lineRule="exact"/>
        <w:ind w:firstLine="883"/>
        <w:rPr>
          <w:rFonts w:ascii="宋体" w:hAnsi="宋体" w:eastAsia="宋体"/>
          <w:b/>
          <w:sz w:val="44"/>
          <w:szCs w:val="44"/>
        </w:rPr>
      </w:pPr>
    </w:p>
    <w:p>
      <w:pPr>
        <w:pStyle w:val="3"/>
      </w:pPr>
      <w:bookmarkStart w:id="794" w:name="_Toc12525"/>
      <w:bookmarkStart w:id="795" w:name="_Toc9937"/>
      <w:bookmarkStart w:id="796" w:name="_Toc7433"/>
      <w:bookmarkStart w:id="797" w:name="_Toc26630"/>
      <w:bookmarkStart w:id="798" w:name="_Toc31195"/>
      <w:bookmarkStart w:id="799" w:name="_Toc24204"/>
      <w:bookmarkStart w:id="800" w:name="_Toc18922"/>
      <w:bookmarkStart w:id="801" w:name="_Toc16462"/>
      <w:bookmarkStart w:id="802" w:name="_Toc1606"/>
      <w:bookmarkStart w:id="803" w:name="_Toc4326"/>
      <w:bookmarkStart w:id="804" w:name="_Toc6052"/>
      <w:bookmarkStart w:id="805" w:name="_Toc21283"/>
      <w:bookmarkStart w:id="806" w:name="_Toc7"/>
      <w:bookmarkStart w:id="807" w:name="_Toc6779"/>
      <w:r>
        <w:rPr>
          <w:rFonts w:hint="eastAsia"/>
        </w:rPr>
        <w:t>市住房城乡建设局关于贯彻执行《省住房城乡建设厅关于建筑业实施营改增后江苏省建设工程计价依据调整的通知》的通知</w:t>
      </w:r>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p>
    <w:p>
      <w:pPr>
        <w:pStyle w:val="8"/>
        <w:spacing w:line="600" w:lineRule="exact"/>
        <w:ind w:left="1060" w:firstLine="560"/>
        <w:rPr>
          <w:rFonts w:hAnsi="仿宋"/>
          <w:szCs w:val="32"/>
        </w:rPr>
      </w:pPr>
    </w:p>
    <w:p>
      <w:pPr>
        <w:ind w:firstLine="0" w:firstLineChars="0"/>
      </w:pPr>
      <w:r>
        <w:rPr>
          <w:rFonts w:hint="eastAsia"/>
        </w:rPr>
        <w:t>各市、区住建局，苏州工业园区规划建设局，各有关单位：</w:t>
      </w:r>
    </w:p>
    <w:p>
      <w:pPr>
        <w:ind w:firstLine="560"/>
      </w:pPr>
      <w:r>
        <w:rPr>
          <w:rFonts w:hint="eastAsia"/>
        </w:rPr>
        <w:t>根据省住房城乡建设厅《关于建筑业实施营改增后江苏省建设工程计价依据调整的通知》（苏建价〔2016〕154号）规定，并结合我市具体实际情况，现将贯彻执行该通知的有关事项明确如下：</w:t>
      </w:r>
    </w:p>
    <w:p>
      <w:pPr>
        <w:ind w:firstLine="560"/>
      </w:pPr>
      <w:r>
        <w:rPr>
          <w:rFonts w:hint="eastAsia"/>
        </w:rPr>
        <w:t>一、措施项目费中关于二次搬运、临时设施、赶工措施和按质论价统一费率标准如下：</w:t>
      </w:r>
    </w:p>
    <w:p>
      <w:pPr>
        <w:ind w:firstLine="560"/>
        <w:jc w:val="center"/>
        <w:rPr>
          <w:rFonts w:ascii="仿宋_GB2312"/>
          <w:szCs w:val="32"/>
        </w:rPr>
      </w:pPr>
      <w:r>
        <w:rPr>
          <w:rFonts w:hint="eastAsia" w:ascii="方正小标宋_GBK" w:eastAsia="方正小标宋_GBK"/>
          <w:szCs w:val="32"/>
        </w:rPr>
        <w:t>调整后的措施项目费费率</w:t>
      </w:r>
      <w:r>
        <w:rPr>
          <w:rFonts w:hint="eastAsia" w:ascii="仿宋_GB2312"/>
          <w:szCs w:val="32"/>
        </w:rPr>
        <w:t>（表4-8）</w:t>
      </w:r>
    </w:p>
    <w:tbl>
      <w:tblPr>
        <w:tblStyle w:val="22"/>
        <w:tblW w:w="9600" w:type="dxa"/>
        <w:tblInd w:w="-212" w:type="dxa"/>
        <w:tblLayout w:type="fixed"/>
        <w:tblCellMar>
          <w:top w:w="0" w:type="dxa"/>
          <w:left w:w="108" w:type="dxa"/>
          <w:bottom w:w="0" w:type="dxa"/>
          <w:right w:w="108" w:type="dxa"/>
        </w:tblCellMar>
      </w:tblPr>
      <w:tblGrid>
        <w:gridCol w:w="489"/>
        <w:gridCol w:w="356"/>
        <w:gridCol w:w="1395"/>
        <w:gridCol w:w="908"/>
        <w:gridCol w:w="849"/>
        <w:gridCol w:w="746"/>
        <w:gridCol w:w="237"/>
        <w:gridCol w:w="470"/>
        <w:gridCol w:w="248"/>
        <w:gridCol w:w="542"/>
        <w:gridCol w:w="114"/>
        <w:gridCol w:w="846"/>
        <w:gridCol w:w="800"/>
        <w:gridCol w:w="800"/>
        <w:gridCol w:w="800"/>
      </w:tblGrid>
      <w:tr>
        <w:tblPrEx>
          <w:tblCellMar>
            <w:top w:w="0" w:type="dxa"/>
            <w:left w:w="108" w:type="dxa"/>
            <w:bottom w:w="0" w:type="dxa"/>
            <w:right w:w="108" w:type="dxa"/>
          </w:tblCellMar>
        </w:tblPrEx>
        <w:trPr>
          <w:cantSplit/>
          <w:trHeight w:val="285" w:hRule="atLeast"/>
        </w:trPr>
        <w:tc>
          <w:tcPr>
            <w:tcW w:w="2240" w:type="dxa"/>
            <w:gridSpan w:val="3"/>
            <w:vMerge w:val="restart"/>
            <w:tcBorders>
              <w:top w:val="single" w:color="auto" w:sz="4" w:space="0"/>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项目</w:t>
            </w:r>
          </w:p>
        </w:tc>
        <w:tc>
          <w:tcPr>
            <w:tcW w:w="908"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计算基础</w:t>
            </w:r>
          </w:p>
        </w:tc>
        <w:tc>
          <w:tcPr>
            <w:tcW w:w="6452" w:type="dxa"/>
            <w:gridSpan w:val="11"/>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各专业工程费率（％）</w:t>
            </w:r>
          </w:p>
        </w:tc>
      </w:tr>
      <w:tr>
        <w:tblPrEx>
          <w:tblCellMar>
            <w:top w:w="0" w:type="dxa"/>
            <w:left w:w="108" w:type="dxa"/>
            <w:bottom w:w="0" w:type="dxa"/>
            <w:right w:w="108" w:type="dxa"/>
          </w:tblCellMar>
        </w:tblPrEx>
        <w:trPr>
          <w:cantSplit/>
          <w:trHeight w:val="444" w:hRule="atLeast"/>
        </w:trPr>
        <w:tc>
          <w:tcPr>
            <w:tcW w:w="2240" w:type="dxa"/>
            <w:gridSpan w:val="3"/>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90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建筑工程</w:t>
            </w:r>
          </w:p>
        </w:tc>
        <w:tc>
          <w:tcPr>
            <w:tcW w:w="746" w:type="dxa"/>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单独装饰</w:t>
            </w:r>
          </w:p>
        </w:tc>
        <w:tc>
          <w:tcPr>
            <w:tcW w:w="707"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安装工程</w:t>
            </w:r>
          </w:p>
        </w:tc>
        <w:tc>
          <w:tcPr>
            <w:tcW w:w="790"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市政工程</w:t>
            </w:r>
          </w:p>
        </w:tc>
        <w:tc>
          <w:tcPr>
            <w:tcW w:w="960" w:type="dxa"/>
            <w:gridSpan w:val="2"/>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修缮土建</w:t>
            </w:r>
            <w:r>
              <w:rPr>
                <w:rFonts w:hAnsi="宋体" w:cs="宋体"/>
                <w:kern w:val="0"/>
                <w:sz w:val="24"/>
              </w:rPr>
              <w:t>(</w:t>
            </w:r>
            <w:r>
              <w:rPr>
                <w:rFonts w:hint="eastAsia" w:hAnsi="宋体" w:cs="宋体"/>
                <w:kern w:val="0"/>
                <w:sz w:val="24"/>
              </w:rPr>
              <w:t>修缮安装</w:t>
            </w:r>
            <w:r>
              <w:rPr>
                <w:rFonts w:hAnsi="宋体" w:cs="宋体"/>
                <w:kern w:val="0"/>
                <w:sz w:val="24"/>
              </w:rPr>
              <w:t>)</w:t>
            </w:r>
          </w:p>
        </w:tc>
        <w:tc>
          <w:tcPr>
            <w:tcW w:w="800" w:type="dxa"/>
            <w:vMerge w:val="restart"/>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仿古</w:t>
            </w:r>
          </w:p>
          <w:p>
            <w:pPr>
              <w:widowControl/>
              <w:spacing w:line="380" w:lineRule="exact"/>
              <w:ind w:firstLine="0" w:firstLineChars="0"/>
              <w:jc w:val="center"/>
              <w:rPr>
                <w:rFonts w:hAnsi="宋体" w:cs="宋体"/>
                <w:kern w:val="0"/>
                <w:sz w:val="24"/>
              </w:rPr>
            </w:pPr>
            <w:r>
              <w:rPr>
                <w:rFonts w:hAnsi="宋体" w:cs="宋体"/>
                <w:kern w:val="0"/>
                <w:sz w:val="24"/>
              </w:rPr>
              <w:t>(</w:t>
            </w:r>
            <w:r>
              <w:rPr>
                <w:rFonts w:hint="eastAsia" w:hAnsi="宋体" w:cs="宋体"/>
                <w:kern w:val="0"/>
                <w:sz w:val="24"/>
              </w:rPr>
              <w:t>园林</w:t>
            </w:r>
            <w:r>
              <w:rPr>
                <w:rFonts w:hAnsi="宋体" w:cs="宋体"/>
                <w:kern w:val="0"/>
                <w:sz w:val="24"/>
              </w:rPr>
              <w:t>)</w:t>
            </w:r>
          </w:p>
        </w:tc>
        <w:tc>
          <w:tcPr>
            <w:tcW w:w="1600" w:type="dxa"/>
            <w:gridSpan w:val="2"/>
            <w:tcBorders>
              <w:top w:val="nil"/>
              <w:left w:val="nil"/>
              <w:bottom w:val="single" w:color="auto" w:sz="4" w:space="0"/>
              <w:right w:val="single" w:color="auto" w:sz="4" w:space="0"/>
            </w:tcBorders>
          </w:tcPr>
          <w:p>
            <w:pPr>
              <w:widowControl/>
              <w:spacing w:line="380" w:lineRule="exact"/>
              <w:ind w:firstLine="0" w:firstLineChars="0"/>
              <w:jc w:val="center"/>
              <w:rPr>
                <w:rFonts w:hAnsi="宋体" w:cs="宋体"/>
                <w:kern w:val="0"/>
                <w:sz w:val="24"/>
              </w:rPr>
            </w:pPr>
            <w:r>
              <w:rPr>
                <w:rFonts w:hint="eastAsia" w:hAnsi="宋体" w:cs="宋体"/>
                <w:kern w:val="0"/>
                <w:sz w:val="24"/>
              </w:rPr>
              <w:t>城市轨道</w:t>
            </w:r>
          </w:p>
          <w:p>
            <w:pPr>
              <w:widowControl/>
              <w:spacing w:line="380" w:lineRule="exact"/>
              <w:ind w:firstLine="0" w:firstLineChars="0"/>
              <w:jc w:val="center"/>
              <w:rPr>
                <w:rFonts w:hAnsi="宋体" w:cs="宋体"/>
                <w:kern w:val="0"/>
                <w:sz w:val="24"/>
              </w:rPr>
            </w:pPr>
            <w:r>
              <w:rPr>
                <w:rFonts w:hint="eastAsia" w:hAnsi="宋体" w:cs="宋体"/>
                <w:kern w:val="0"/>
                <w:sz w:val="24"/>
              </w:rPr>
              <w:t>交通</w:t>
            </w:r>
          </w:p>
        </w:tc>
      </w:tr>
      <w:tr>
        <w:tblPrEx>
          <w:tblCellMar>
            <w:top w:w="0" w:type="dxa"/>
            <w:left w:w="108" w:type="dxa"/>
            <w:bottom w:w="0" w:type="dxa"/>
            <w:right w:w="108" w:type="dxa"/>
          </w:tblCellMar>
        </w:tblPrEx>
        <w:trPr>
          <w:cantSplit/>
          <w:trHeight w:val="1259" w:hRule="atLeast"/>
        </w:trPr>
        <w:tc>
          <w:tcPr>
            <w:tcW w:w="2240" w:type="dxa"/>
            <w:gridSpan w:val="3"/>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908"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46" w:type="dxa"/>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07"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790"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960" w:type="dxa"/>
            <w:gridSpan w:val="2"/>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00" w:type="dxa"/>
            <w:vMerge w:val="continue"/>
            <w:tcBorders>
              <w:top w:val="nil"/>
              <w:left w:val="nil"/>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00" w:type="dxa"/>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土建轨道</w:t>
            </w:r>
          </w:p>
        </w:tc>
        <w:tc>
          <w:tcPr>
            <w:tcW w:w="800" w:type="dxa"/>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安装</w:t>
            </w:r>
          </w:p>
        </w:tc>
      </w:tr>
      <w:tr>
        <w:tblPrEx>
          <w:tblCellMar>
            <w:top w:w="0" w:type="dxa"/>
            <w:left w:w="108" w:type="dxa"/>
            <w:bottom w:w="0" w:type="dxa"/>
            <w:right w:w="108" w:type="dxa"/>
          </w:tblCellMar>
        </w:tblPrEx>
        <w:trPr>
          <w:cantSplit/>
          <w:trHeight w:val="1288" w:hRule="atLeast"/>
        </w:trPr>
        <w:tc>
          <w:tcPr>
            <w:tcW w:w="489" w:type="dxa"/>
            <w:vMerge w:val="restart"/>
            <w:tcBorders>
              <w:top w:val="single" w:color="auto" w:sz="4" w:space="0"/>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二次搬运</w:t>
            </w:r>
          </w:p>
        </w:tc>
        <w:tc>
          <w:tcPr>
            <w:tcW w:w="1751" w:type="dxa"/>
            <w:gridSpan w:val="2"/>
            <w:tcBorders>
              <w:top w:val="single" w:color="auto" w:sz="4" w:space="0"/>
              <w:left w:val="single" w:color="auto" w:sz="4" w:space="0"/>
              <w:bottom w:val="single" w:color="auto" w:sz="4" w:space="0"/>
              <w:right w:val="single" w:color="auto" w:sz="4" w:space="0"/>
            </w:tcBorders>
            <w:noWrap/>
          </w:tcPr>
          <w:p>
            <w:pPr>
              <w:widowControl/>
              <w:spacing w:line="380" w:lineRule="exact"/>
              <w:ind w:firstLine="0" w:firstLineChars="0"/>
              <w:jc w:val="center"/>
              <w:rPr>
                <w:rFonts w:hAnsi="宋体" w:cs="宋体"/>
                <w:kern w:val="0"/>
                <w:sz w:val="24"/>
              </w:rPr>
            </w:pPr>
            <w:r>
              <w:rPr>
                <w:rFonts w:hint="eastAsia" w:hAnsi="宋体" w:cs="宋体"/>
                <w:kern w:val="0"/>
                <w:sz w:val="24"/>
              </w:rPr>
              <w:t>汽车不能进入的小街小巷、无材料堆放场地的工程</w:t>
            </w:r>
          </w:p>
        </w:tc>
        <w:tc>
          <w:tcPr>
            <w:tcW w:w="908" w:type="dxa"/>
            <w:vMerge w:val="restart"/>
            <w:tcBorders>
              <w:top w:val="single" w:color="auto" w:sz="4" w:space="0"/>
              <w:left w:val="single" w:color="auto" w:sz="4" w:space="0"/>
              <w:right w:val="single" w:color="auto" w:sz="4" w:space="0"/>
            </w:tcBorders>
            <w:vAlign w:val="center"/>
          </w:tcPr>
          <w:p>
            <w:pPr>
              <w:spacing w:line="380" w:lineRule="exact"/>
              <w:ind w:firstLine="0" w:firstLineChars="0"/>
              <w:jc w:val="center"/>
              <w:rPr>
                <w:rFonts w:hAnsi="宋体" w:cs="宋体"/>
                <w:kern w:val="0"/>
                <w:sz w:val="24"/>
              </w:rPr>
            </w:pPr>
            <w:r>
              <w:rPr>
                <w:rFonts w:hint="eastAsia" w:hAnsi="宋体" w:cs="宋体"/>
                <w:kern w:val="0"/>
                <w:sz w:val="24"/>
              </w:rPr>
              <w:t>分部分项工程费+单价措施项目费-除税工程设备费</w:t>
            </w:r>
          </w:p>
        </w:tc>
        <w:tc>
          <w:tcPr>
            <w:tcW w:w="6452" w:type="dxa"/>
            <w:gridSpan w:val="11"/>
            <w:tcBorders>
              <w:top w:val="single" w:color="auto" w:sz="4" w:space="0"/>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1</w:t>
            </w:r>
            <w:r>
              <w:rPr>
                <w:rFonts w:hAnsi="宋体" w:cs="宋体"/>
                <w:kern w:val="0"/>
                <w:sz w:val="24"/>
              </w:rPr>
              <w:t>0</w:t>
            </w:r>
          </w:p>
        </w:tc>
      </w:tr>
      <w:tr>
        <w:tblPrEx>
          <w:tblCellMar>
            <w:top w:w="0" w:type="dxa"/>
            <w:left w:w="108" w:type="dxa"/>
            <w:bottom w:w="0" w:type="dxa"/>
            <w:right w:w="108" w:type="dxa"/>
          </w:tblCellMar>
        </w:tblPrEx>
        <w:trPr>
          <w:cantSplit/>
          <w:trHeight w:val="634" w:hRule="atLeast"/>
        </w:trPr>
        <w:tc>
          <w:tcPr>
            <w:tcW w:w="489" w:type="dxa"/>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1751" w:type="dxa"/>
            <w:gridSpan w:val="2"/>
            <w:tcBorders>
              <w:top w:val="nil"/>
              <w:left w:val="single" w:color="auto" w:sz="4" w:space="0"/>
              <w:bottom w:val="single" w:color="auto" w:sz="4" w:space="0"/>
              <w:right w:val="single" w:color="auto" w:sz="4" w:space="0"/>
            </w:tcBorders>
            <w:vAlign w:val="center"/>
          </w:tcPr>
          <w:p>
            <w:pPr>
              <w:spacing w:line="380" w:lineRule="exact"/>
              <w:ind w:firstLine="0" w:firstLineChars="0"/>
              <w:jc w:val="center"/>
              <w:rPr>
                <w:rFonts w:hAnsi="宋体" w:cs="宋体"/>
                <w:kern w:val="0"/>
                <w:sz w:val="24"/>
              </w:rPr>
            </w:pPr>
            <w:r>
              <w:rPr>
                <w:rFonts w:hint="eastAsia" w:hAnsi="宋体" w:cs="宋体"/>
                <w:kern w:val="0"/>
                <w:sz w:val="24"/>
              </w:rPr>
              <w:t>山上工程</w:t>
            </w:r>
          </w:p>
        </w:tc>
        <w:tc>
          <w:tcPr>
            <w:tcW w:w="908" w:type="dxa"/>
            <w:vMerge w:val="continue"/>
            <w:tcBorders>
              <w:left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6452" w:type="dxa"/>
            <w:gridSpan w:val="11"/>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根据实际情况，在合同中约定。</w:t>
            </w:r>
          </w:p>
        </w:tc>
      </w:tr>
      <w:tr>
        <w:tblPrEx>
          <w:tblCellMar>
            <w:top w:w="0" w:type="dxa"/>
            <w:left w:w="108" w:type="dxa"/>
            <w:bottom w:w="0" w:type="dxa"/>
            <w:right w:w="108" w:type="dxa"/>
          </w:tblCellMar>
        </w:tblPrEx>
        <w:trPr>
          <w:cantSplit/>
          <w:trHeight w:val="600" w:hRule="atLeast"/>
        </w:trPr>
        <w:tc>
          <w:tcPr>
            <w:tcW w:w="224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临时设施</w:t>
            </w:r>
          </w:p>
        </w:tc>
        <w:tc>
          <w:tcPr>
            <w:tcW w:w="908" w:type="dxa"/>
            <w:vMerge w:val="continue"/>
            <w:tcBorders>
              <w:left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1</w:t>
            </w:r>
            <w:r>
              <w:rPr>
                <w:rFonts w:hAnsi="宋体" w:cs="宋体"/>
                <w:kern w:val="0"/>
                <w:sz w:val="24"/>
              </w:rPr>
              <w:t>0</w:t>
            </w:r>
          </w:p>
        </w:tc>
        <w:tc>
          <w:tcPr>
            <w:tcW w:w="983"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2</w:t>
            </w:r>
            <w:r>
              <w:rPr>
                <w:rFonts w:hAnsi="宋体" w:cs="宋体"/>
                <w:kern w:val="0"/>
                <w:sz w:val="24"/>
              </w:rPr>
              <w:t>0</w:t>
            </w:r>
          </w:p>
        </w:tc>
        <w:tc>
          <w:tcPr>
            <w:tcW w:w="718"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3</w:t>
            </w:r>
            <w:r>
              <w:rPr>
                <w:rFonts w:hAnsi="宋体" w:cs="宋体"/>
                <w:kern w:val="0"/>
                <w:sz w:val="24"/>
              </w:rPr>
              <w:t>0</w:t>
            </w:r>
          </w:p>
        </w:tc>
        <w:tc>
          <w:tcPr>
            <w:tcW w:w="65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9</w:t>
            </w:r>
            <w:r>
              <w:rPr>
                <w:rFonts w:hAnsi="宋体" w:cs="宋体"/>
                <w:kern w:val="0"/>
                <w:sz w:val="24"/>
              </w:rPr>
              <w:t>0</w:t>
            </w:r>
          </w:p>
        </w:tc>
        <w:tc>
          <w:tcPr>
            <w:tcW w:w="846"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9</w:t>
            </w:r>
            <w:r>
              <w:rPr>
                <w:rFonts w:hAnsi="宋体" w:cs="宋体"/>
                <w:kern w:val="0"/>
                <w:sz w:val="24"/>
              </w:rPr>
              <w:t>0</w:t>
            </w:r>
          </w:p>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3</w:t>
            </w:r>
            <w:r>
              <w:rPr>
                <w:rFonts w:hAnsi="宋体" w:cs="宋体"/>
                <w:kern w:val="0"/>
                <w:sz w:val="24"/>
              </w:rPr>
              <w:t>0)</w:t>
            </w:r>
          </w:p>
        </w:tc>
        <w:tc>
          <w:tcPr>
            <w:tcW w:w="800"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3</w:t>
            </w:r>
            <w:r>
              <w:rPr>
                <w:rFonts w:hAnsi="宋体" w:cs="宋体"/>
                <w:kern w:val="0"/>
                <w:sz w:val="24"/>
              </w:rPr>
              <w:t>0</w:t>
            </w:r>
          </w:p>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70</w:t>
            </w:r>
            <w:r>
              <w:rPr>
                <w:rFonts w:hAnsi="宋体" w:cs="宋体"/>
                <w:kern w:val="0"/>
                <w:sz w:val="24"/>
              </w:rPr>
              <w:t>)</w:t>
            </w:r>
          </w:p>
        </w:tc>
        <w:tc>
          <w:tcPr>
            <w:tcW w:w="160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4</w:t>
            </w:r>
            <w:r>
              <w:rPr>
                <w:rFonts w:hAnsi="宋体" w:cs="宋体"/>
                <w:kern w:val="0"/>
                <w:sz w:val="24"/>
              </w:rPr>
              <w:t>0</w:t>
            </w:r>
          </w:p>
        </w:tc>
      </w:tr>
      <w:tr>
        <w:tblPrEx>
          <w:tblCellMar>
            <w:top w:w="0" w:type="dxa"/>
            <w:left w:w="108" w:type="dxa"/>
            <w:bottom w:w="0" w:type="dxa"/>
            <w:right w:w="108" w:type="dxa"/>
          </w:tblCellMar>
        </w:tblPrEx>
        <w:trPr>
          <w:cantSplit/>
          <w:trHeight w:val="285" w:hRule="atLeast"/>
        </w:trPr>
        <w:tc>
          <w:tcPr>
            <w:tcW w:w="2240" w:type="dxa"/>
            <w:gridSpan w:val="3"/>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赶工措施</w:t>
            </w:r>
          </w:p>
        </w:tc>
        <w:tc>
          <w:tcPr>
            <w:tcW w:w="908" w:type="dxa"/>
            <w:vMerge w:val="continue"/>
            <w:tcBorders>
              <w:left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4852" w:type="dxa"/>
            <w:gridSpan w:val="9"/>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（提前天数／定额工期天数）×</w:t>
            </w:r>
            <w:r>
              <w:rPr>
                <w:rFonts w:hAnsi="宋体" w:cs="宋体"/>
                <w:kern w:val="0"/>
                <w:sz w:val="24"/>
              </w:rPr>
              <w:t>2.</w:t>
            </w:r>
            <w:r>
              <w:rPr>
                <w:rFonts w:hint="eastAsia" w:hAnsi="宋体" w:cs="宋体"/>
                <w:kern w:val="0"/>
                <w:sz w:val="24"/>
              </w:rPr>
              <w:t>1</w:t>
            </w:r>
            <w:r>
              <w:rPr>
                <w:rFonts w:hAnsi="宋体" w:cs="宋体"/>
                <w:kern w:val="0"/>
                <w:sz w:val="24"/>
              </w:rPr>
              <w:t>0</w:t>
            </w:r>
            <w:r>
              <w:rPr>
                <w:rFonts w:hint="eastAsia" w:hAnsi="宋体" w:cs="宋体"/>
                <w:kern w:val="0"/>
                <w:sz w:val="24"/>
              </w:rPr>
              <w:t>／</w:t>
            </w:r>
            <w:r>
              <w:rPr>
                <w:rFonts w:hAnsi="宋体" w:cs="宋体"/>
                <w:kern w:val="0"/>
                <w:sz w:val="24"/>
              </w:rPr>
              <w:t>0.35</w:t>
            </w:r>
          </w:p>
        </w:tc>
        <w:tc>
          <w:tcPr>
            <w:tcW w:w="160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（提前天数／定额工期天数）×1</w:t>
            </w:r>
            <w:r>
              <w:rPr>
                <w:rFonts w:hAnsi="宋体" w:cs="宋体"/>
                <w:kern w:val="0"/>
                <w:sz w:val="24"/>
              </w:rPr>
              <w:t>.</w:t>
            </w:r>
            <w:r>
              <w:rPr>
                <w:rFonts w:hint="eastAsia" w:hAnsi="宋体" w:cs="宋体"/>
                <w:kern w:val="0"/>
                <w:sz w:val="24"/>
              </w:rPr>
              <w:t>3</w:t>
            </w:r>
            <w:r>
              <w:rPr>
                <w:rFonts w:hAnsi="宋体" w:cs="宋体"/>
                <w:kern w:val="0"/>
                <w:sz w:val="24"/>
              </w:rPr>
              <w:t>0</w:t>
            </w:r>
            <w:r>
              <w:rPr>
                <w:rFonts w:hint="eastAsia" w:hAnsi="宋体" w:cs="宋体"/>
                <w:kern w:val="0"/>
                <w:sz w:val="24"/>
              </w:rPr>
              <w:t>／</w:t>
            </w:r>
            <w:r>
              <w:rPr>
                <w:rFonts w:hAnsi="宋体" w:cs="宋体"/>
                <w:kern w:val="0"/>
                <w:sz w:val="24"/>
              </w:rPr>
              <w:t>0.35</w:t>
            </w:r>
          </w:p>
        </w:tc>
      </w:tr>
      <w:tr>
        <w:tblPrEx>
          <w:tblCellMar>
            <w:top w:w="0" w:type="dxa"/>
            <w:left w:w="108" w:type="dxa"/>
            <w:bottom w:w="0" w:type="dxa"/>
            <w:right w:w="108" w:type="dxa"/>
          </w:tblCellMar>
        </w:tblPrEx>
        <w:trPr>
          <w:cantSplit/>
          <w:trHeight w:val="495" w:hRule="atLeast"/>
        </w:trPr>
        <w:tc>
          <w:tcPr>
            <w:tcW w:w="845" w:type="dxa"/>
            <w:gridSpan w:val="2"/>
            <w:vMerge w:val="restart"/>
            <w:tcBorders>
              <w:top w:val="nil"/>
              <w:left w:val="single" w:color="auto" w:sz="4" w:space="0"/>
              <w:bottom w:val="single" w:color="auto" w:sz="4" w:space="0"/>
              <w:right w:val="single" w:color="auto" w:sz="4" w:space="0"/>
            </w:tcBorders>
            <w:noWrap/>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按质论价</w:t>
            </w:r>
          </w:p>
        </w:tc>
        <w:tc>
          <w:tcPr>
            <w:tcW w:w="139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县级市优</w:t>
            </w:r>
          </w:p>
        </w:tc>
        <w:tc>
          <w:tcPr>
            <w:tcW w:w="908" w:type="dxa"/>
            <w:vMerge w:val="continue"/>
            <w:tcBorders>
              <w:left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7</w:t>
            </w:r>
            <w:r>
              <w:rPr>
                <w:rFonts w:hAnsi="宋体" w:cs="宋体"/>
                <w:kern w:val="0"/>
                <w:sz w:val="24"/>
              </w:rPr>
              <w:t>0</w:t>
            </w:r>
          </w:p>
        </w:tc>
        <w:tc>
          <w:tcPr>
            <w:tcW w:w="983"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7</w:t>
            </w:r>
            <w:r>
              <w:rPr>
                <w:rFonts w:hAnsi="宋体" w:cs="宋体"/>
                <w:kern w:val="0"/>
                <w:sz w:val="24"/>
              </w:rPr>
              <w:t>0</w:t>
            </w:r>
          </w:p>
        </w:tc>
        <w:tc>
          <w:tcPr>
            <w:tcW w:w="718"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7</w:t>
            </w:r>
            <w:r>
              <w:rPr>
                <w:rFonts w:hAnsi="宋体" w:cs="宋体"/>
                <w:kern w:val="0"/>
                <w:sz w:val="24"/>
              </w:rPr>
              <w:t>0</w:t>
            </w:r>
          </w:p>
        </w:tc>
        <w:tc>
          <w:tcPr>
            <w:tcW w:w="65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6</w:t>
            </w:r>
            <w:r>
              <w:rPr>
                <w:rFonts w:hAnsi="宋体" w:cs="宋体"/>
                <w:kern w:val="0"/>
                <w:sz w:val="24"/>
              </w:rPr>
              <w:t>0</w:t>
            </w:r>
          </w:p>
        </w:tc>
        <w:tc>
          <w:tcPr>
            <w:tcW w:w="846"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7</w:t>
            </w:r>
            <w:r>
              <w:rPr>
                <w:rFonts w:hAnsi="宋体" w:cs="宋体"/>
                <w:kern w:val="0"/>
                <w:sz w:val="24"/>
              </w:rPr>
              <w:t>0</w:t>
            </w:r>
          </w:p>
        </w:tc>
        <w:tc>
          <w:tcPr>
            <w:tcW w:w="800"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7</w:t>
            </w:r>
            <w:r>
              <w:rPr>
                <w:rFonts w:hAnsi="宋体" w:cs="宋体"/>
                <w:kern w:val="0"/>
                <w:sz w:val="24"/>
              </w:rPr>
              <w:t>0</w:t>
            </w:r>
          </w:p>
        </w:tc>
        <w:tc>
          <w:tcPr>
            <w:tcW w:w="160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w:t>
            </w:r>
          </w:p>
        </w:tc>
      </w:tr>
      <w:tr>
        <w:tblPrEx>
          <w:tblCellMar>
            <w:top w:w="0" w:type="dxa"/>
            <w:left w:w="108" w:type="dxa"/>
            <w:bottom w:w="0" w:type="dxa"/>
            <w:right w:w="108" w:type="dxa"/>
          </w:tblCellMar>
        </w:tblPrEx>
        <w:trPr>
          <w:cantSplit/>
          <w:trHeight w:val="495" w:hRule="atLeast"/>
        </w:trPr>
        <w:tc>
          <w:tcPr>
            <w:tcW w:w="845" w:type="dxa"/>
            <w:gridSpan w:val="2"/>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139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市优</w:t>
            </w:r>
          </w:p>
        </w:tc>
        <w:tc>
          <w:tcPr>
            <w:tcW w:w="908" w:type="dxa"/>
            <w:vMerge w:val="continue"/>
            <w:tcBorders>
              <w:left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1</w:t>
            </w:r>
            <w:r>
              <w:rPr>
                <w:rFonts w:hAnsi="宋体" w:cs="宋体"/>
                <w:kern w:val="0"/>
                <w:sz w:val="24"/>
              </w:rPr>
              <w:t>0</w:t>
            </w:r>
          </w:p>
        </w:tc>
        <w:tc>
          <w:tcPr>
            <w:tcW w:w="983"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1</w:t>
            </w:r>
            <w:r>
              <w:rPr>
                <w:rFonts w:hAnsi="宋体" w:cs="宋体"/>
                <w:kern w:val="0"/>
                <w:sz w:val="24"/>
              </w:rPr>
              <w:t>0</w:t>
            </w:r>
          </w:p>
        </w:tc>
        <w:tc>
          <w:tcPr>
            <w:tcW w:w="718"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1</w:t>
            </w:r>
            <w:r>
              <w:rPr>
                <w:rFonts w:hAnsi="宋体" w:cs="宋体"/>
                <w:kern w:val="0"/>
                <w:sz w:val="24"/>
              </w:rPr>
              <w:t>0</w:t>
            </w:r>
          </w:p>
        </w:tc>
        <w:tc>
          <w:tcPr>
            <w:tcW w:w="65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90</w:t>
            </w:r>
          </w:p>
        </w:tc>
        <w:tc>
          <w:tcPr>
            <w:tcW w:w="846"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1</w:t>
            </w:r>
            <w:r>
              <w:rPr>
                <w:rFonts w:hAnsi="宋体" w:cs="宋体"/>
                <w:kern w:val="0"/>
                <w:sz w:val="24"/>
              </w:rPr>
              <w:t>0</w:t>
            </w:r>
          </w:p>
        </w:tc>
        <w:tc>
          <w:tcPr>
            <w:tcW w:w="800"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1</w:t>
            </w:r>
            <w:r>
              <w:rPr>
                <w:rFonts w:hAnsi="宋体" w:cs="宋体"/>
                <w:kern w:val="0"/>
                <w:sz w:val="24"/>
              </w:rPr>
              <w:t>0</w:t>
            </w:r>
          </w:p>
        </w:tc>
        <w:tc>
          <w:tcPr>
            <w:tcW w:w="160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60</w:t>
            </w:r>
          </w:p>
        </w:tc>
      </w:tr>
      <w:tr>
        <w:tblPrEx>
          <w:tblCellMar>
            <w:top w:w="0" w:type="dxa"/>
            <w:left w:w="108" w:type="dxa"/>
            <w:bottom w:w="0" w:type="dxa"/>
            <w:right w:w="108" w:type="dxa"/>
          </w:tblCellMar>
        </w:tblPrEx>
        <w:trPr>
          <w:cantSplit/>
          <w:trHeight w:val="495" w:hRule="atLeast"/>
        </w:trPr>
        <w:tc>
          <w:tcPr>
            <w:tcW w:w="845" w:type="dxa"/>
            <w:gridSpan w:val="2"/>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139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省优</w:t>
            </w:r>
          </w:p>
        </w:tc>
        <w:tc>
          <w:tcPr>
            <w:tcW w:w="908" w:type="dxa"/>
            <w:vMerge w:val="continue"/>
            <w:tcBorders>
              <w:left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1</w:t>
            </w:r>
            <w:r>
              <w:rPr>
                <w:rFonts w:hAnsi="宋体" w:cs="宋体"/>
                <w:kern w:val="0"/>
                <w:sz w:val="24"/>
              </w:rPr>
              <w:t>0</w:t>
            </w:r>
          </w:p>
        </w:tc>
        <w:tc>
          <w:tcPr>
            <w:tcW w:w="983"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2</w:t>
            </w:r>
            <w:r>
              <w:rPr>
                <w:rFonts w:hAnsi="宋体" w:cs="宋体"/>
                <w:kern w:val="0"/>
                <w:sz w:val="24"/>
              </w:rPr>
              <w:t>0</w:t>
            </w:r>
          </w:p>
        </w:tc>
        <w:tc>
          <w:tcPr>
            <w:tcW w:w="718"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2</w:t>
            </w:r>
            <w:r>
              <w:rPr>
                <w:rFonts w:hAnsi="宋体" w:cs="宋体"/>
                <w:kern w:val="0"/>
                <w:sz w:val="24"/>
              </w:rPr>
              <w:t>0</w:t>
            </w:r>
          </w:p>
        </w:tc>
        <w:tc>
          <w:tcPr>
            <w:tcW w:w="65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80</w:t>
            </w:r>
          </w:p>
        </w:tc>
        <w:tc>
          <w:tcPr>
            <w:tcW w:w="846"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6</w:t>
            </w:r>
            <w:r>
              <w:rPr>
                <w:rFonts w:hAnsi="宋体" w:cs="宋体"/>
                <w:kern w:val="0"/>
                <w:sz w:val="24"/>
              </w:rPr>
              <w:t>0</w:t>
            </w:r>
          </w:p>
        </w:tc>
        <w:tc>
          <w:tcPr>
            <w:tcW w:w="800"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2</w:t>
            </w:r>
            <w:r>
              <w:rPr>
                <w:rFonts w:hAnsi="宋体" w:cs="宋体"/>
                <w:kern w:val="0"/>
                <w:sz w:val="24"/>
              </w:rPr>
              <w:t>.</w:t>
            </w:r>
            <w:r>
              <w:rPr>
                <w:rFonts w:hint="eastAsia" w:hAnsi="宋体" w:cs="宋体"/>
                <w:kern w:val="0"/>
                <w:sz w:val="24"/>
              </w:rPr>
              <w:t>0</w:t>
            </w:r>
            <w:r>
              <w:rPr>
                <w:rFonts w:hAnsi="宋体" w:cs="宋体"/>
                <w:kern w:val="0"/>
                <w:sz w:val="24"/>
              </w:rPr>
              <w:t>0</w:t>
            </w:r>
          </w:p>
        </w:tc>
        <w:tc>
          <w:tcPr>
            <w:tcW w:w="160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0.</w:t>
            </w:r>
            <w:r>
              <w:rPr>
                <w:rFonts w:hint="eastAsia" w:hAnsi="宋体" w:cs="宋体"/>
                <w:kern w:val="0"/>
                <w:sz w:val="24"/>
              </w:rPr>
              <w:t>90</w:t>
            </w:r>
          </w:p>
        </w:tc>
      </w:tr>
      <w:tr>
        <w:tblPrEx>
          <w:tblCellMar>
            <w:top w:w="0" w:type="dxa"/>
            <w:left w:w="108" w:type="dxa"/>
            <w:bottom w:w="0" w:type="dxa"/>
            <w:right w:w="108" w:type="dxa"/>
          </w:tblCellMar>
        </w:tblPrEx>
        <w:trPr>
          <w:cantSplit/>
          <w:trHeight w:val="495" w:hRule="atLeast"/>
        </w:trPr>
        <w:tc>
          <w:tcPr>
            <w:tcW w:w="845" w:type="dxa"/>
            <w:gridSpan w:val="2"/>
            <w:vMerge w:val="continue"/>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1395" w:type="dxa"/>
            <w:tcBorders>
              <w:top w:val="nil"/>
              <w:left w:val="single" w:color="auto" w:sz="4" w:space="0"/>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int="eastAsia" w:hAnsi="宋体" w:cs="宋体"/>
                <w:kern w:val="0"/>
                <w:sz w:val="24"/>
              </w:rPr>
              <w:t>国优</w:t>
            </w:r>
          </w:p>
        </w:tc>
        <w:tc>
          <w:tcPr>
            <w:tcW w:w="908" w:type="dxa"/>
            <w:vMerge w:val="continue"/>
            <w:tcBorders>
              <w:left w:val="single" w:color="auto" w:sz="4" w:space="0"/>
              <w:bottom w:val="single" w:color="auto" w:sz="4" w:space="0"/>
              <w:right w:val="single" w:color="auto" w:sz="4" w:space="0"/>
            </w:tcBorders>
            <w:vAlign w:val="center"/>
          </w:tcPr>
          <w:p>
            <w:pPr>
              <w:widowControl/>
              <w:spacing w:line="380" w:lineRule="exact"/>
              <w:ind w:firstLine="0" w:firstLineChars="0"/>
              <w:jc w:val="left"/>
              <w:rPr>
                <w:rFonts w:hAnsi="宋体" w:cs="宋体"/>
                <w:kern w:val="0"/>
                <w:sz w:val="24"/>
              </w:rPr>
            </w:pPr>
          </w:p>
        </w:tc>
        <w:tc>
          <w:tcPr>
            <w:tcW w:w="849"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3.</w:t>
            </w:r>
            <w:r>
              <w:rPr>
                <w:rFonts w:hint="eastAsia" w:hAnsi="宋体" w:cs="宋体"/>
                <w:kern w:val="0"/>
                <w:sz w:val="24"/>
              </w:rPr>
              <w:t>1</w:t>
            </w:r>
            <w:r>
              <w:rPr>
                <w:rFonts w:hAnsi="宋体" w:cs="宋体"/>
                <w:kern w:val="0"/>
                <w:sz w:val="24"/>
              </w:rPr>
              <w:t>0</w:t>
            </w:r>
          </w:p>
        </w:tc>
        <w:tc>
          <w:tcPr>
            <w:tcW w:w="983"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3.</w:t>
            </w:r>
            <w:r>
              <w:rPr>
                <w:rFonts w:hint="eastAsia" w:hAnsi="宋体" w:cs="宋体"/>
                <w:kern w:val="0"/>
                <w:sz w:val="24"/>
              </w:rPr>
              <w:t>2</w:t>
            </w:r>
            <w:r>
              <w:rPr>
                <w:rFonts w:hAnsi="宋体" w:cs="宋体"/>
                <w:kern w:val="0"/>
                <w:sz w:val="24"/>
              </w:rPr>
              <w:t>0</w:t>
            </w:r>
          </w:p>
        </w:tc>
        <w:tc>
          <w:tcPr>
            <w:tcW w:w="718"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3.</w:t>
            </w:r>
            <w:r>
              <w:rPr>
                <w:rFonts w:hint="eastAsia" w:hAnsi="宋体" w:cs="宋体"/>
                <w:kern w:val="0"/>
                <w:sz w:val="24"/>
              </w:rPr>
              <w:t>2</w:t>
            </w:r>
            <w:r>
              <w:rPr>
                <w:rFonts w:hAnsi="宋体" w:cs="宋体"/>
                <w:kern w:val="0"/>
                <w:sz w:val="24"/>
              </w:rPr>
              <w:t>0</w:t>
            </w:r>
          </w:p>
        </w:tc>
        <w:tc>
          <w:tcPr>
            <w:tcW w:w="656"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70</w:t>
            </w:r>
          </w:p>
        </w:tc>
        <w:tc>
          <w:tcPr>
            <w:tcW w:w="846"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1</w:t>
            </w:r>
            <w:r>
              <w:rPr>
                <w:rFonts w:hAnsi="宋体" w:cs="宋体"/>
                <w:kern w:val="0"/>
                <w:sz w:val="24"/>
              </w:rPr>
              <w:t>0</w:t>
            </w:r>
          </w:p>
        </w:tc>
        <w:tc>
          <w:tcPr>
            <w:tcW w:w="800" w:type="dxa"/>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2.</w:t>
            </w:r>
            <w:r>
              <w:rPr>
                <w:rFonts w:hint="eastAsia" w:hAnsi="宋体" w:cs="宋体"/>
                <w:kern w:val="0"/>
                <w:sz w:val="24"/>
              </w:rPr>
              <w:t>7</w:t>
            </w:r>
            <w:r>
              <w:rPr>
                <w:rFonts w:hAnsi="宋体" w:cs="宋体"/>
                <w:kern w:val="0"/>
                <w:sz w:val="24"/>
              </w:rPr>
              <w:t>0</w:t>
            </w:r>
          </w:p>
        </w:tc>
        <w:tc>
          <w:tcPr>
            <w:tcW w:w="1600" w:type="dxa"/>
            <w:gridSpan w:val="2"/>
            <w:tcBorders>
              <w:top w:val="nil"/>
              <w:left w:val="nil"/>
              <w:bottom w:val="single" w:color="auto" w:sz="4" w:space="0"/>
              <w:right w:val="single" w:color="auto" w:sz="4" w:space="0"/>
            </w:tcBorders>
            <w:vAlign w:val="center"/>
          </w:tcPr>
          <w:p>
            <w:pPr>
              <w:widowControl/>
              <w:spacing w:line="380" w:lineRule="exact"/>
              <w:ind w:firstLine="0" w:firstLineChars="0"/>
              <w:jc w:val="center"/>
              <w:rPr>
                <w:rFonts w:hAnsi="宋体" w:cs="宋体"/>
                <w:kern w:val="0"/>
                <w:sz w:val="24"/>
              </w:rPr>
            </w:pPr>
            <w:r>
              <w:rPr>
                <w:rFonts w:hAnsi="宋体" w:cs="宋体"/>
                <w:kern w:val="0"/>
                <w:sz w:val="24"/>
              </w:rPr>
              <w:t>1.</w:t>
            </w:r>
            <w:r>
              <w:rPr>
                <w:rFonts w:hint="eastAsia" w:hAnsi="宋体" w:cs="宋体"/>
                <w:kern w:val="0"/>
                <w:sz w:val="24"/>
              </w:rPr>
              <w:t>30</w:t>
            </w:r>
          </w:p>
        </w:tc>
      </w:tr>
    </w:tbl>
    <w:p>
      <w:pPr>
        <w:spacing w:line="600" w:lineRule="exact"/>
        <w:ind w:firstLine="560"/>
        <w:rPr>
          <w:rFonts w:ascii="仿宋_GB2312" w:hAnsi="仿宋"/>
          <w:color w:val="000000"/>
          <w:kern w:val="0"/>
          <w:szCs w:val="32"/>
        </w:rPr>
      </w:pPr>
      <w:r>
        <w:rPr>
          <w:rFonts w:hint="eastAsia" w:ascii="仿宋_GB2312" w:hAnsi="仿宋"/>
          <w:color w:val="000000"/>
          <w:kern w:val="0"/>
          <w:szCs w:val="32"/>
        </w:rPr>
        <w:t>二、采用原有计税模式进行招标或签订合同的工程，凡由于营改增税收政策而涉及造价调整的，结算时均按照税务部门的规定执行。</w:t>
      </w:r>
    </w:p>
    <w:p>
      <w:pPr>
        <w:spacing w:line="600" w:lineRule="exact"/>
        <w:ind w:firstLine="560"/>
        <w:rPr>
          <w:rFonts w:ascii="仿宋_GB2312" w:hAnsi="仿宋"/>
          <w:color w:val="000000"/>
          <w:kern w:val="0"/>
          <w:szCs w:val="32"/>
        </w:rPr>
      </w:pPr>
    </w:p>
    <w:p>
      <w:pPr>
        <w:spacing w:line="600" w:lineRule="exact"/>
        <w:ind w:firstLine="560"/>
        <w:rPr>
          <w:rFonts w:ascii="仿宋_GB2312" w:hAnsi="仿宋"/>
          <w:color w:val="000000"/>
          <w:kern w:val="0"/>
          <w:szCs w:val="32"/>
        </w:rPr>
      </w:pPr>
      <w:r>
        <w:rPr>
          <w:rFonts w:hint="eastAsia" w:ascii="仿宋_GB2312" w:hAnsi="仿宋"/>
          <w:color w:val="000000"/>
          <w:kern w:val="0"/>
          <w:szCs w:val="32"/>
        </w:rPr>
        <w:t>附件：省住房城乡建设厅《关于建筑业实施营改增后江苏省建设工程计价依据调整的通知》（苏建价〔2016〕154号）</w:t>
      </w:r>
    </w:p>
    <w:p>
      <w:pPr>
        <w:spacing w:line="600" w:lineRule="exact"/>
        <w:ind w:left="1680" w:leftChars="500" w:hanging="280" w:hangingChars="100"/>
        <w:rPr>
          <w:rFonts w:ascii="仿宋_GB2312" w:hAnsi="仿宋"/>
          <w:color w:val="000000"/>
          <w:kern w:val="0"/>
          <w:szCs w:val="32"/>
        </w:rPr>
      </w:pPr>
    </w:p>
    <w:p>
      <w:pPr>
        <w:widowControl/>
        <w:spacing w:line="480" w:lineRule="exact"/>
        <w:ind w:left="1123" w:leftChars="251" w:hanging="420" w:hangingChars="150"/>
        <w:rPr>
          <w:rFonts w:ascii="仿宋_GB2312" w:hAnsi="仿宋" w:cs="宋体"/>
          <w:color w:val="000000"/>
          <w:kern w:val="0"/>
          <w:szCs w:val="32"/>
        </w:rPr>
      </w:pPr>
    </w:p>
    <w:p>
      <w:pPr>
        <w:spacing w:line="600" w:lineRule="exact"/>
        <w:ind w:firstLine="560"/>
        <w:jc w:val="right"/>
        <w:rPr>
          <w:rFonts w:ascii="仿宋_GB2312"/>
          <w:szCs w:val="32"/>
        </w:rPr>
      </w:pPr>
      <w:r>
        <w:rPr>
          <w:rFonts w:hint="eastAsia" w:ascii="仿宋_GB2312"/>
          <w:szCs w:val="32"/>
        </w:rPr>
        <w:t>苏州市住房和城乡建设局</w:t>
      </w:r>
    </w:p>
    <w:p>
      <w:pPr>
        <w:spacing w:line="600" w:lineRule="exact"/>
        <w:ind w:right="328" w:firstLine="576"/>
        <w:jc w:val="right"/>
        <w:rPr>
          <w:rFonts w:ascii="仿宋_GB2312"/>
          <w:spacing w:val="4"/>
          <w:szCs w:val="32"/>
        </w:rPr>
      </w:pPr>
      <w:r>
        <w:rPr>
          <w:rFonts w:hint="eastAsia" w:ascii="仿宋_GB2312"/>
          <w:spacing w:val="4"/>
          <w:szCs w:val="32"/>
        </w:rPr>
        <w:t>2016年4月26日</w:t>
      </w:r>
    </w:p>
    <w:p>
      <w:pPr>
        <w:spacing w:line="240" w:lineRule="auto"/>
        <w:ind w:firstLine="520"/>
        <w:rPr>
          <w:rFonts w:ascii="仿宋_GB2312"/>
          <w:spacing w:val="-10"/>
          <w:szCs w:val="32"/>
        </w:rPr>
      </w:pPr>
    </w:p>
    <w:p>
      <w:pPr>
        <w:spacing w:line="240" w:lineRule="auto"/>
        <w:ind w:firstLine="520"/>
        <w:rPr>
          <w:rFonts w:ascii="仿宋_GB2312"/>
          <w:spacing w:val="-10"/>
          <w:szCs w:val="32"/>
        </w:rPr>
      </w:pPr>
    </w:p>
    <w:p>
      <w:pPr>
        <w:widowControl/>
        <w:spacing w:line="240" w:lineRule="auto"/>
        <w:ind w:firstLine="560"/>
        <w:jc w:val="left"/>
      </w:pPr>
      <w:r>
        <w:br w:type="page"/>
      </w:r>
    </w:p>
    <w:p>
      <w:pPr>
        <w:spacing w:line="240" w:lineRule="auto"/>
        <w:ind w:firstLine="560"/>
        <w:jc w:val="left"/>
      </w:pPr>
      <w:r>
        <w:rPr>
          <w:rFonts w:hint="eastAsia"/>
        </w:rPr>
        <w:t>附件：</w:t>
      </w:r>
      <w:r>
        <w:drawing>
          <wp:inline distT="0" distB="0" distL="0" distR="0">
            <wp:extent cx="5482590" cy="8044815"/>
            <wp:effectExtent l="0" t="0" r="3810" b="133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8"/>
                    <a:srcRect l="5822" t="3949" r="7586" b="6204"/>
                    <a:stretch>
                      <a:fillRect/>
                    </a:stretch>
                  </pic:blipFill>
                  <pic:spPr>
                    <a:xfrm>
                      <a:off x="0" y="0"/>
                      <a:ext cx="5482590" cy="8044815"/>
                    </a:xfrm>
                    <a:prstGeom prst="rect">
                      <a:avLst/>
                    </a:prstGeom>
                  </pic:spPr>
                </pic:pic>
              </a:graphicData>
            </a:graphic>
          </wp:inline>
        </w:drawing>
      </w:r>
      <w:r>
        <w:drawing>
          <wp:inline distT="0" distB="0" distL="0" distR="0">
            <wp:extent cx="5457190" cy="7887335"/>
            <wp:effectExtent l="0" t="0" r="10160" b="184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9"/>
                    <a:srcRect l="7496" t="5924" r="7213" b="6908"/>
                    <a:stretch>
                      <a:fillRect/>
                    </a:stretch>
                  </pic:blipFill>
                  <pic:spPr>
                    <a:xfrm>
                      <a:off x="0" y="0"/>
                      <a:ext cx="5457190" cy="7887335"/>
                    </a:xfrm>
                    <a:prstGeom prst="rect">
                      <a:avLst/>
                    </a:prstGeom>
                  </pic:spPr>
                </pic:pic>
              </a:graphicData>
            </a:graphic>
          </wp:inline>
        </w:drawing>
      </w:r>
      <w:r>
        <w:drawing>
          <wp:inline distT="0" distB="0" distL="0" distR="0">
            <wp:extent cx="5387340" cy="7856220"/>
            <wp:effectExtent l="0" t="0" r="3810" b="1143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0"/>
                    <a:srcRect l="8796" t="9162" r="9486" b="6572"/>
                    <a:stretch>
                      <a:fillRect/>
                    </a:stretch>
                  </pic:blipFill>
                  <pic:spPr>
                    <a:xfrm>
                      <a:off x="0" y="0"/>
                      <a:ext cx="5387340" cy="7856220"/>
                    </a:xfrm>
                    <a:prstGeom prst="rect">
                      <a:avLst/>
                    </a:prstGeom>
                  </pic:spPr>
                </pic:pic>
              </a:graphicData>
            </a:graphic>
          </wp:inline>
        </w:drawing>
      </w:r>
      <w:r>
        <w:drawing>
          <wp:inline distT="0" distB="0" distL="0" distR="0">
            <wp:extent cx="5540375" cy="7957185"/>
            <wp:effectExtent l="0" t="0" r="3175"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1"/>
                    <a:srcRect l="9192" t="8866" r="8276" b="7315"/>
                    <a:stretch>
                      <a:fillRect/>
                    </a:stretch>
                  </pic:blipFill>
                  <pic:spPr>
                    <a:xfrm>
                      <a:off x="0" y="0"/>
                      <a:ext cx="5540375" cy="7957185"/>
                    </a:xfrm>
                    <a:prstGeom prst="rect">
                      <a:avLst/>
                    </a:prstGeom>
                  </pic:spPr>
                </pic:pic>
              </a:graphicData>
            </a:graphic>
          </wp:inline>
        </w:drawing>
      </w:r>
    </w:p>
    <w:p>
      <w:pPr>
        <w:pStyle w:val="2"/>
        <w:ind w:left="980" w:hanging="420"/>
      </w:pPr>
      <w:r>
        <w:br w:type="page"/>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pPr>
      <w:r>
        <w:drawing>
          <wp:inline distT="0" distB="0" distL="0" distR="0">
            <wp:extent cx="5544185" cy="7840980"/>
            <wp:effectExtent l="0" t="0" r="0" b="7620"/>
            <wp:docPr id="671872" name="图片 671872" descr="C:\Users\Administrator\Desktop\附件1营改增后调整内容\附件1营改增后调整内容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72" name="图片 671872" descr="C:\Users\Administrator\Desktop\附件1营改增后调整内容\附件1营改增后调整内容_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drawing>
          <wp:inline distT="0" distB="0" distL="0" distR="0">
            <wp:extent cx="5544185" cy="7840980"/>
            <wp:effectExtent l="0" t="0" r="0" b="7620"/>
            <wp:docPr id="671875" name="图片 671875" descr="C:\Users\Administrator\Desktop\附件1营改增后调整内容\附件1营改增后调整内容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75" name="图片 671875" descr="C:\Users\Administrator\Desktop\附件1营改增后调整内容\附件1营改增后调整内容_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drawing>
          <wp:inline distT="0" distB="0" distL="0" distR="0">
            <wp:extent cx="5544185" cy="7840980"/>
            <wp:effectExtent l="0" t="0" r="0" b="7620"/>
            <wp:docPr id="671882" name="图片 671882" descr="C:\Users\Administrator\Desktop\附件1营改增后调整内容\附件1营改增后调整内容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2" name="图片 671882" descr="C:\Users\Administrator\Desktop\附件1营改增后调整内容\附件1营改增后调整内容_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drawing>
          <wp:inline distT="0" distB="0" distL="0" distR="0">
            <wp:extent cx="5544185" cy="7840980"/>
            <wp:effectExtent l="0" t="0" r="0" b="7620"/>
            <wp:docPr id="671883" name="图片 671883" descr="C:\Users\Administrator\Desktop\附件1营改增后调整内容\附件1营改增后调整内容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3" name="图片 671883" descr="C:\Users\Administrator\Desktop\附件1营改增后调整内容\附件1营改增后调整内容_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drawing>
          <wp:inline distT="0" distB="0" distL="0" distR="0">
            <wp:extent cx="5544185" cy="7840980"/>
            <wp:effectExtent l="0" t="0" r="0" b="7620"/>
            <wp:docPr id="671884" name="图片 671884" descr="C:\Users\Administrator\Desktop\附件1营改增后调整内容\附件1营改增后调整内容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4" name="图片 671884" descr="C:\Users\Administrator\Desktop\附件1营改增后调整内容\附件1营改增后调整内容_5.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drawing>
          <wp:inline distT="0" distB="0" distL="0" distR="0">
            <wp:extent cx="5544185" cy="7840980"/>
            <wp:effectExtent l="0" t="0" r="0" b="7620"/>
            <wp:docPr id="671888" name="图片 671888" descr="C:\Users\Administrator\Desktop\附件1营改增后调整内容\附件1营改增后调整内容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8" name="图片 671888" descr="C:\Users\Administrator\Desktop\附件1营改增后调整内容\附件1营改增后调整内容_6.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drawing>
          <wp:inline distT="0" distB="0" distL="0" distR="0">
            <wp:extent cx="5544185" cy="7840980"/>
            <wp:effectExtent l="0" t="0" r="0" b="7620"/>
            <wp:docPr id="671889" name="图片 671889" descr="C:\Users\Administrator\Desktop\附件1营改增后调整内容\附件1营改增后调整内容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9" name="图片 671889" descr="C:\Users\Administrator\Desktop\附件1营改增后调整内容\附件1营改增后调整内容_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pPr>
        <w:widowControl/>
        <w:spacing w:line="240" w:lineRule="auto"/>
        <w:ind w:firstLine="560"/>
        <w:jc w:val="left"/>
      </w:pPr>
      <w:r>
        <w:br w:type="page"/>
      </w:r>
    </w:p>
    <w:p>
      <w:pPr>
        <w:ind w:firstLine="560"/>
        <w:jc w:val="center"/>
        <w:rPr>
          <w:b/>
          <w:sz w:val="52"/>
        </w:rPr>
      </w:pPr>
      <w:r>
        <w:drawing>
          <wp:anchor distT="0" distB="0" distL="114300" distR="114300" simplePos="0" relativeHeight="251666432" behindDoc="1" locked="0" layoutInCell="1" allowOverlap="1">
            <wp:simplePos x="0" y="0"/>
            <wp:positionH relativeFrom="column">
              <wp:posOffset>-923925</wp:posOffset>
            </wp:positionH>
            <wp:positionV relativeFrom="paragraph">
              <wp:posOffset>-914400</wp:posOffset>
            </wp:positionV>
            <wp:extent cx="7560310" cy="2268220"/>
            <wp:effectExtent l="0" t="0" r="0" b="0"/>
            <wp:wrapNone/>
            <wp:docPr id="3634" name="图片 3634" descr="苏州市住房和城乡建设局 便签 文件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图片 3634" descr="苏州市住房和城乡建设局 便签 文件头"/>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7560310" cy="2268220"/>
                    </a:xfrm>
                    <a:prstGeom prst="rect">
                      <a:avLst/>
                    </a:prstGeom>
                    <a:noFill/>
                  </pic:spPr>
                </pic:pic>
              </a:graphicData>
            </a:graphic>
          </wp:anchor>
        </w:drawing>
      </w:r>
    </w:p>
    <w:p>
      <w:pPr>
        <w:ind w:firstLine="1044"/>
        <w:jc w:val="center"/>
        <w:rPr>
          <w:b/>
          <w:sz w:val="52"/>
        </w:rPr>
      </w:pPr>
    </w:p>
    <w:p>
      <w:pPr>
        <w:ind w:firstLine="1044"/>
        <w:jc w:val="center"/>
        <w:rPr>
          <w:b/>
          <w:sz w:val="52"/>
        </w:rPr>
      </w:pPr>
    </w:p>
    <w:p>
      <w:pPr>
        <w:ind w:firstLine="1044"/>
        <w:jc w:val="center"/>
        <w:rPr>
          <w:b/>
          <w:sz w:val="52"/>
        </w:rPr>
      </w:pPr>
    </w:p>
    <w:p>
      <w:pPr>
        <w:pStyle w:val="5"/>
      </w:pPr>
    </w:p>
    <w:p>
      <w:pPr>
        <w:pStyle w:val="4"/>
      </w:pPr>
      <w:bookmarkStart w:id="808" w:name="_Toc16856"/>
      <w:bookmarkStart w:id="809" w:name="_Toc535"/>
      <w:bookmarkStart w:id="810" w:name="_Toc31978"/>
      <w:bookmarkStart w:id="811" w:name="_Toc1864"/>
      <w:bookmarkStart w:id="812" w:name="_Toc20812"/>
      <w:bookmarkStart w:id="813" w:name="_Toc19173"/>
      <w:bookmarkStart w:id="814" w:name="_Toc7403"/>
      <w:bookmarkStart w:id="815" w:name="_Toc4892"/>
      <w:bookmarkStart w:id="816" w:name="_Toc29506"/>
      <w:bookmarkStart w:id="817" w:name="_Toc16068"/>
      <w:bookmarkStart w:id="818" w:name="_Toc5361"/>
      <w:r>
        <w:rPr>
          <w:rFonts w:hint="eastAsia"/>
        </w:rPr>
        <w:t>苏建函价〔2017〕30号</w:t>
      </w:r>
      <w:bookmarkEnd w:id="808"/>
      <w:bookmarkEnd w:id="809"/>
      <w:bookmarkEnd w:id="810"/>
      <w:bookmarkEnd w:id="811"/>
      <w:bookmarkEnd w:id="812"/>
      <w:bookmarkEnd w:id="813"/>
      <w:bookmarkEnd w:id="814"/>
      <w:bookmarkEnd w:id="815"/>
      <w:bookmarkEnd w:id="816"/>
      <w:bookmarkEnd w:id="817"/>
      <w:bookmarkEnd w:id="818"/>
    </w:p>
    <w:p>
      <w:pPr>
        <w:ind w:firstLine="883"/>
        <w:rPr>
          <w:b/>
          <w:sz w:val="44"/>
          <w:szCs w:val="44"/>
        </w:rPr>
      </w:pPr>
    </w:p>
    <w:p>
      <w:pPr>
        <w:ind w:firstLine="883"/>
        <w:rPr>
          <w:b/>
          <w:sz w:val="44"/>
          <w:szCs w:val="44"/>
        </w:rPr>
      </w:pPr>
    </w:p>
    <w:p>
      <w:pPr>
        <w:pStyle w:val="3"/>
      </w:pPr>
      <w:bookmarkStart w:id="819" w:name="_Toc6041"/>
      <w:bookmarkStart w:id="820" w:name="_Toc20984"/>
      <w:bookmarkStart w:id="821" w:name="_Toc18994"/>
      <w:bookmarkStart w:id="822" w:name="_Toc14725"/>
      <w:bookmarkStart w:id="823" w:name="_Toc11974"/>
      <w:bookmarkStart w:id="824" w:name="_Toc12882"/>
      <w:bookmarkStart w:id="825" w:name="_Toc22494"/>
      <w:bookmarkStart w:id="826" w:name="_Toc634"/>
      <w:bookmarkStart w:id="827" w:name="_Toc25059"/>
      <w:bookmarkStart w:id="828" w:name="_Toc32055"/>
      <w:bookmarkStart w:id="829" w:name="_Toc6054"/>
      <w:bookmarkStart w:id="830" w:name="_Toc1507"/>
      <w:bookmarkStart w:id="831" w:name="_Toc9436"/>
      <w:bookmarkStart w:id="832" w:name="_Toc7047"/>
      <w:r>
        <w:rPr>
          <w:rFonts w:hint="eastAsia" w:ascii="方正小标宋_GBK" w:hAnsi="宋体" w:cs="宋体"/>
          <w:color w:val="000000"/>
          <w:spacing w:val="-10"/>
          <w:kern w:val="0"/>
        </w:rPr>
        <w:t>关于转发</w:t>
      </w:r>
      <w:r>
        <w:rPr>
          <w:rFonts w:hint="eastAsia"/>
        </w:rPr>
        <w:t>《省住房城乡建设厅关于贯彻执行</w:t>
      </w:r>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p>
    <w:p>
      <w:pPr>
        <w:pStyle w:val="3"/>
        <w:rPr>
          <w:rFonts w:ascii="方正小标宋_GBK" w:hAnsi="宋体" w:cs="宋体"/>
          <w:color w:val="000000"/>
          <w:spacing w:val="-10"/>
          <w:kern w:val="0"/>
        </w:rPr>
      </w:pPr>
      <w:bookmarkStart w:id="833" w:name="_Toc15769"/>
      <w:bookmarkStart w:id="834" w:name="_Toc5600"/>
      <w:bookmarkStart w:id="835" w:name="_Toc17066"/>
      <w:bookmarkStart w:id="836" w:name="_Toc12486"/>
      <w:bookmarkStart w:id="837" w:name="_Toc14517"/>
      <w:bookmarkStart w:id="838" w:name="_Toc4026"/>
      <w:bookmarkStart w:id="839" w:name="_Toc17588"/>
      <w:bookmarkStart w:id="840" w:name="_Toc306"/>
      <w:bookmarkStart w:id="841" w:name="_Toc31687"/>
      <w:bookmarkStart w:id="842" w:name="_Toc24280"/>
      <w:bookmarkStart w:id="843" w:name="_Toc26044"/>
      <w:bookmarkStart w:id="844" w:name="_Toc31322"/>
      <w:bookmarkStart w:id="845" w:name="_Toc17054"/>
      <w:bookmarkStart w:id="846" w:name="_Toc18604"/>
      <w:r>
        <w:rPr>
          <w:rFonts w:hint="eastAsia"/>
        </w:rPr>
        <w:t>&lt;建筑安装工程工期定额&gt;的通知</w:t>
      </w:r>
      <w:r>
        <w:rPr>
          <w:rFonts w:hint="eastAsia" w:ascii="方正小标宋_GBK" w:hAnsi="宋体" w:cs="宋体"/>
          <w:color w:val="000000"/>
          <w:kern w:val="0"/>
        </w:rPr>
        <w:t>》</w:t>
      </w:r>
      <w:r>
        <w:rPr>
          <w:rFonts w:hint="eastAsia" w:ascii="方正小标宋_GBK" w:hAnsi="宋体" w:cs="宋体"/>
          <w:color w:val="000000"/>
          <w:spacing w:val="-10"/>
          <w:kern w:val="0"/>
        </w:rPr>
        <w:t>的通知</w:t>
      </w:r>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p>
    <w:p>
      <w:pPr>
        <w:tabs>
          <w:tab w:val="center" w:pos="4422"/>
          <w:tab w:val="right" w:pos="8844"/>
        </w:tabs>
        <w:spacing w:line="600" w:lineRule="exact"/>
        <w:ind w:firstLine="560"/>
        <w:rPr>
          <w:rFonts w:ascii="仿宋_GB2312" w:hAnsi="宋体" w:cs="宋体"/>
          <w:color w:val="000000"/>
          <w:kern w:val="0"/>
          <w:szCs w:val="32"/>
        </w:rPr>
      </w:pPr>
    </w:p>
    <w:p>
      <w:pPr>
        <w:tabs>
          <w:tab w:val="center" w:pos="4422"/>
          <w:tab w:val="right" w:pos="8844"/>
        </w:tabs>
        <w:spacing w:line="600" w:lineRule="exact"/>
        <w:ind w:firstLine="560"/>
        <w:rPr>
          <w:rFonts w:ascii="仿宋_GB2312" w:hAnsi="宋体" w:cs="宋体"/>
          <w:color w:val="000000"/>
          <w:kern w:val="0"/>
          <w:szCs w:val="32"/>
        </w:rPr>
      </w:pPr>
    </w:p>
    <w:p>
      <w:pPr>
        <w:ind w:firstLine="0" w:firstLineChars="0"/>
      </w:pPr>
      <w:r>
        <w:rPr>
          <w:rFonts w:hint="eastAsia"/>
        </w:rPr>
        <w:t>各市、区住建局，苏州工业园区规划建设委员会，各有关单位：</w:t>
      </w:r>
    </w:p>
    <w:p>
      <w:pPr>
        <w:ind w:firstLine="560"/>
      </w:pPr>
      <w:r>
        <w:rPr>
          <w:rFonts w:hint="eastAsia"/>
        </w:rPr>
        <w:t>现将省住房城乡建设厅《关于贯彻执行&lt;建筑安装工程工期定额&gt;的通知》(苏建价〔2016〕740号)转发给你们，请遵照执行。</w:t>
      </w:r>
    </w:p>
    <w:p>
      <w:pPr>
        <w:ind w:firstLine="560"/>
      </w:pPr>
    </w:p>
    <w:p>
      <w:pPr>
        <w:ind w:firstLine="560"/>
      </w:pPr>
    </w:p>
    <w:p>
      <w:pPr>
        <w:ind w:firstLine="4200" w:firstLineChars="1500"/>
      </w:pPr>
      <w:r>
        <w:rPr>
          <w:rFonts w:hint="eastAsia"/>
        </w:rPr>
        <w:t>苏州市住房和城乡建设局</w:t>
      </w:r>
    </w:p>
    <w:p>
      <w:pPr>
        <w:ind w:firstLine="4928" w:firstLineChars="1760"/>
      </w:pPr>
      <w:r>
        <w:rPr>
          <w:rFonts w:hint="eastAsia"/>
        </w:rPr>
        <w:t>2017年2月20日</w:t>
      </w:r>
    </w:p>
    <w:p>
      <w:pPr>
        <w:spacing w:line="560" w:lineRule="exact"/>
        <w:ind w:firstLine="5180" w:firstLineChars="1850"/>
        <w:rPr>
          <w:rFonts w:ascii="仿宋_GB2312" w:hAnsi="仿宋"/>
          <w:szCs w:val="32"/>
        </w:rPr>
      </w:pPr>
    </w:p>
    <w:p>
      <w:pPr>
        <w:spacing w:line="260" w:lineRule="exact"/>
        <w:ind w:firstLine="5180" w:firstLineChars="1850"/>
        <w:rPr>
          <w:rFonts w:ascii="仿宋_GB2312" w:hAnsi="仿宋"/>
          <w:szCs w:val="32"/>
        </w:rPr>
      </w:pPr>
    </w:p>
    <w:p>
      <w:pPr>
        <w:spacing w:line="260" w:lineRule="exact"/>
        <w:ind w:firstLine="5180" w:firstLineChars="1850"/>
        <w:rPr>
          <w:rFonts w:ascii="仿宋_GB2312" w:hAnsi="仿宋"/>
          <w:szCs w:val="32"/>
        </w:rPr>
      </w:pPr>
    </w:p>
    <w:p>
      <w:pPr>
        <w:spacing w:line="260" w:lineRule="exact"/>
        <w:ind w:firstLine="5180" w:firstLineChars="1850"/>
        <w:rPr>
          <w:rFonts w:ascii="仿宋_GB2312" w:hAnsi="仿宋"/>
          <w:szCs w:val="32"/>
        </w:rPr>
      </w:pPr>
    </w:p>
    <w:p>
      <w:pPr>
        <w:spacing w:line="260" w:lineRule="exact"/>
        <w:ind w:firstLine="5180" w:firstLineChars="1850"/>
        <w:rPr>
          <w:rFonts w:ascii="仿宋_GB2312" w:hAnsi="仿宋"/>
          <w:szCs w:val="32"/>
        </w:rPr>
      </w:pPr>
    </w:p>
    <w:p>
      <w:pPr>
        <w:spacing w:line="260" w:lineRule="exact"/>
        <w:ind w:firstLine="5180" w:firstLineChars="1850"/>
        <w:rPr>
          <w:rFonts w:ascii="仿宋_GB2312" w:hAnsi="仿宋"/>
          <w:szCs w:val="32"/>
        </w:rPr>
      </w:pPr>
    </w:p>
    <w:p>
      <w:pPr>
        <w:spacing w:line="260" w:lineRule="exact"/>
        <w:ind w:firstLine="5180" w:firstLineChars="1850"/>
        <w:rPr>
          <w:rFonts w:ascii="仿宋_GB2312" w:hAnsi="仿宋"/>
          <w:szCs w:val="32"/>
        </w:rPr>
      </w:pPr>
    </w:p>
    <w:p>
      <w:pPr>
        <w:ind w:firstLine="560"/>
        <w:jc w:val="left"/>
      </w:pPr>
    </w:p>
    <w:p>
      <w:pPr>
        <w:spacing w:line="240" w:lineRule="auto"/>
        <w:ind w:firstLine="0" w:firstLineChars="0"/>
        <w:jc w:val="left"/>
      </w:pPr>
    </w:p>
    <w:p>
      <w:pPr>
        <w:spacing w:line="240" w:lineRule="auto"/>
        <w:ind w:firstLine="0" w:firstLineChars="0"/>
        <w:jc w:val="left"/>
      </w:pPr>
      <w:r>
        <w:rPr>
          <w:rFonts w:hint="eastAsia"/>
        </w:rPr>
        <w:t>附件：</w:t>
      </w:r>
      <w:r>
        <w:drawing>
          <wp:inline distT="0" distB="0" distL="0" distR="0">
            <wp:extent cx="5575300" cy="7932420"/>
            <wp:effectExtent l="0" t="0" r="6350" b="11430"/>
            <wp:docPr id="3635" name="图片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图片 3635"/>
                    <pic:cNvPicPr>
                      <a:picLocks noChangeAspect="1"/>
                    </pic:cNvPicPr>
                  </pic:nvPicPr>
                  <pic:blipFill>
                    <a:blip r:embed="rId60"/>
                    <a:srcRect l="6003" t="7987" r="8287" b="5780"/>
                    <a:stretch>
                      <a:fillRect/>
                    </a:stretch>
                  </pic:blipFill>
                  <pic:spPr>
                    <a:xfrm>
                      <a:off x="0" y="0"/>
                      <a:ext cx="5575300" cy="7932420"/>
                    </a:xfrm>
                    <a:prstGeom prst="rect">
                      <a:avLst/>
                    </a:prstGeom>
                  </pic:spPr>
                </pic:pic>
              </a:graphicData>
            </a:graphic>
          </wp:inline>
        </w:drawing>
      </w:r>
      <w:r>
        <w:drawing>
          <wp:inline distT="0" distB="0" distL="0" distR="0">
            <wp:extent cx="5469890" cy="7914005"/>
            <wp:effectExtent l="0" t="0" r="16510" b="10795"/>
            <wp:docPr id="3636" name="图片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图片 3636"/>
                    <pic:cNvPicPr>
                      <a:picLocks noChangeAspect="1"/>
                    </pic:cNvPicPr>
                  </pic:nvPicPr>
                  <pic:blipFill>
                    <a:blip r:embed="rId61"/>
                    <a:srcRect l="8581" t="8642" r="7801" b="5812"/>
                    <a:stretch>
                      <a:fillRect/>
                    </a:stretch>
                  </pic:blipFill>
                  <pic:spPr>
                    <a:xfrm>
                      <a:off x="0" y="0"/>
                      <a:ext cx="5469890" cy="7914005"/>
                    </a:xfrm>
                    <a:prstGeom prst="rect">
                      <a:avLst/>
                    </a:prstGeom>
                  </pic:spPr>
                </pic:pic>
              </a:graphicData>
            </a:graphic>
          </wp:inline>
        </w:drawing>
      </w:r>
      <w:r>
        <w:drawing>
          <wp:inline distT="0" distB="0" distL="0" distR="0">
            <wp:extent cx="5371465" cy="7853045"/>
            <wp:effectExtent l="0" t="0" r="635" b="14605"/>
            <wp:docPr id="3637" name="图片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图片 3637"/>
                    <pic:cNvPicPr>
                      <a:picLocks noChangeAspect="1"/>
                    </pic:cNvPicPr>
                  </pic:nvPicPr>
                  <pic:blipFill>
                    <a:blip r:embed="rId62"/>
                    <a:srcRect l="8581" t="7891" r="7801" b="5668"/>
                    <a:stretch>
                      <a:fillRect/>
                    </a:stretch>
                  </pic:blipFill>
                  <pic:spPr>
                    <a:xfrm>
                      <a:off x="0" y="0"/>
                      <a:ext cx="5371465" cy="7853045"/>
                    </a:xfrm>
                    <a:prstGeom prst="rect">
                      <a:avLst/>
                    </a:prstGeom>
                  </pic:spPr>
                </pic:pic>
              </a:graphicData>
            </a:graphic>
          </wp:inline>
        </w:drawing>
      </w:r>
    </w:p>
    <w:p>
      <w:pPr>
        <w:widowControl/>
        <w:spacing w:line="240" w:lineRule="auto"/>
        <w:ind w:firstLine="560"/>
        <w:jc w:val="left"/>
      </w:pPr>
      <w:r>
        <w:br w:type="page"/>
      </w:r>
    </w:p>
    <w:p>
      <w:pPr>
        <w:ind w:firstLine="560"/>
        <w:rPr>
          <w:rFonts w:ascii="仿宋_GB2312"/>
        </w:rPr>
      </w:pPr>
      <w:r>
        <w:rPr>
          <w:rFonts w:ascii="仿宋_GB2312"/>
        </w:rPr>
        <w:drawing>
          <wp:anchor distT="0" distB="0" distL="114300" distR="114300" simplePos="0" relativeHeight="251667456" behindDoc="1" locked="0" layoutInCell="1" allowOverlap="1">
            <wp:simplePos x="0" y="0"/>
            <wp:positionH relativeFrom="column">
              <wp:posOffset>-149225</wp:posOffset>
            </wp:positionH>
            <wp:positionV relativeFrom="paragraph">
              <wp:posOffset>256540</wp:posOffset>
            </wp:positionV>
            <wp:extent cx="6083935" cy="2406015"/>
            <wp:effectExtent l="0" t="0" r="0" b="13970"/>
            <wp:wrapNone/>
            <wp:docPr id="6327" name="图片 6327"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 name="图片 6327"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10118" t="42460" r="9437"/>
                    <a:stretch>
                      <a:fillRect/>
                    </a:stretch>
                  </pic:blipFill>
                  <pic:spPr>
                    <a:xfrm>
                      <a:off x="0" y="0"/>
                      <a:ext cx="6083935" cy="2406015"/>
                    </a:xfrm>
                    <a:prstGeom prst="rect">
                      <a:avLst/>
                    </a:prstGeom>
                    <a:noFill/>
                  </pic:spPr>
                </pic:pic>
              </a:graphicData>
            </a:graphic>
          </wp:anchor>
        </w:drawing>
      </w: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ind w:firstLine="560"/>
        <w:rPr>
          <w:rFonts w:ascii="仿宋_GB2312"/>
        </w:rPr>
      </w:pPr>
    </w:p>
    <w:p>
      <w:pPr>
        <w:pStyle w:val="4"/>
      </w:pPr>
      <w:bookmarkStart w:id="847" w:name="_Toc1122"/>
      <w:bookmarkStart w:id="848" w:name="_Toc12597"/>
      <w:bookmarkStart w:id="849" w:name="_Toc24622"/>
      <w:bookmarkStart w:id="850" w:name="_Toc18712"/>
      <w:bookmarkStart w:id="851" w:name="_Toc9207"/>
      <w:bookmarkStart w:id="852" w:name="_Toc15430"/>
      <w:bookmarkStart w:id="853" w:name="_Toc17865"/>
      <w:bookmarkStart w:id="854" w:name="_Toc10361"/>
      <w:bookmarkStart w:id="855" w:name="_Toc4400"/>
      <w:bookmarkStart w:id="856" w:name="_Toc29616"/>
      <w:bookmarkStart w:id="857" w:name="_Toc18309"/>
      <w:r>
        <w:rPr>
          <w:rFonts w:hint="eastAsia"/>
        </w:rPr>
        <w:t>苏住建价〔2017〕3号</w:t>
      </w:r>
      <w:bookmarkEnd w:id="847"/>
      <w:bookmarkEnd w:id="848"/>
      <w:bookmarkEnd w:id="849"/>
      <w:bookmarkEnd w:id="850"/>
      <w:bookmarkEnd w:id="851"/>
      <w:bookmarkEnd w:id="852"/>
      <w:bookmarkEnd w:id="853"/>
      <w:bookmarkEnd w:id="854"/>
      <w:bookmarkEnd w:id="855"/>
      <w:bookmarkEnd w:id="856"/>
      <w:bookmarkEnd w:id="857"/>
    </w:p>
    <w:p>
      <w:pPr>
        <w:spacing w:line="480" w:lineRule="exact"/>
        <w:ind w:firstLine="478"/>
        <w:rPr>
          <w:rFonts w:eastAsia="楷体_GB2312"/>
          <w:w w:val="80"/>
          <w:sz w:val="30"/>
        </w:rPr>
      </w:pPr>
    </w:p>
    <w:p>
      <w:pPr>
        <w:spacing w:line="480" w:lineRule="exact"/>
        <w:ind w:firstLine="883"/>
        <w:rPr>
          <w:rFonts w:ascii="宋体" w:hAnsi="宋体" w:eastAsia="宋体"/>
          <w:b/>
          <w:sz w:val="44"/>
          <w:szCs w:val="44"/>
        </w:rPr>
      </w:pPr>
    </w:p>
    <w:p>
      <w:pPr>
        <w:spacing w:line="480" w:lineRule="exact"/>
        <w:ind w:firstLine="883"/>
        <w:rPr>
          <w:rFonts w:ascii="宋体" w:hAnsi="宋体" w:eastAsia="宋体"/>
          <w:b/>
          <w:sz w:val="44"/>
          <w:szCs w:val="44"/>
        </w:rPr>
      </w:pPr>
    </w:p>
    <w:p>
      <w:pPr>
        <w:pStyle w:val="3"/>
      </w:pPr>
      <w:bookmarkStart w:id="858" w:name="_Toc10036"/>
      <w:bookmarkStart w:id="859" w:name="_Toc9874"/>
      <w:bookmarkStart w:id="860" w:name="_Toc19497"/>
      <w:bookmarkStart w:id="861" w:name="_Toc3446"/>
      <w:bookmarkStart w:id="862" w:name="_Toc29363"/>
      <w:bookmarkStart w:id="863" w:name="_Toc16326"/>
      <w:bookmarkStart w:id="864" w:name="_Toc13766"/>
      <w:bookmarkStart w:id="865" w:name="_Toc7878"/>
      <w:bookmarkStart w:id="866" w:name="_Toc1167"/>
      <w:bookmarkStart w:id="867" w:name="_Toc21245"/>
      <w:bookmarkStart w:id="868" w:name="_Toc19411"/>
      <w:bookmarkStart w:id="869" w:name="_Toc9190"/>
      <w:bookmarkStart w:id="870" w:name="_Toc11708"/>
      <w:bookmarkStart w:id="871" w:name="_Toc6277"/>
      <w:r>
        <w:rPr>
          <w:rFonts w:hint="eastAsia"/>
        </w:rPr>
        <w:t>市住房城乡建设局关于贯彻执行《省住房城乡建设厅关于印发&lt;江苏省装配式混凝土建筑工程定额&gt;（试行）的通知》的通知</w:t>
      </w:r>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pPr>
        <w:ind w:firstLine="560"/>
        <w:rPr>
          <w:rFonts w:ascii="仿宋_GB2312" w:cs="宋体"/>
          <w:color w:val="000000"/>
          <w:kern w:val="0"/>
          <w:szCs w:val="32"/>
        </w:rPr>
      </w:pPr>
    </w:p>
    <w:p>
      <w:pPr>
        <w:ind w:firstLine="560"/>
        <w:rPr>
          <w:rFonts w:ascii="仿宋_GB2312" w:cs="宋体"/>
          <w:color w:val="000000"/>
          <w:kern w:val="0"/>
          <w:szCs w:val="32"/>
        </w:rPr>
      </w:pPr>
    </w:p>
    <w:p>
      <w:pPr>
        <w:ind w:firstLine="0" w:firstLineChars="0"/>
      </w:pPr>
      <w:r>
        <w:rPr>
          <w:rFonts w:hint="eastAsia"/>
        </w:rPr>
        <w:t>各市、区住建局，苏州工业园区规划建设委员会，各有关单位：</w:t>
      </w:r>
    </w:p>
    <w:p>
      <w:pPr>
        <w:ind w:firstLine="560"/>
      </w:pPr>
      <w:r>
        <w:rPr>
          <w:rFonts w:hint="eastAsia"/>
        </w:rPr>
        <w:t>根据省住房城乡建设厅《关于印发&lt;江苏省装配式混凝土建筑工程定额&gt;（试行）的通知》（苏建价〔2017〕83号）规定，并结合我市具体实际情况，现将贯彻执行该通知的有关事项明确如下：</w:t>
      </w:r>
    </w:p>
    <w:p>
      <w:pPr>
        <w:ind w:firstLine="560"/>
      </w:pPr>
      <w:r>
        <w:rPr>
          <w:rFonts w:hint="eastAsia"/>
        </w:rPr>
        <w:t>一、总价措施项目费中关于夜间施工、冬雨季施工、已完工程及设备保护、临时设施、赶工措施和按质论价统一费率标准如下：</w:t>
      </w:r>
    </w:p>
    <w:p>
      <w:pPr>
        <w:ind w:firstLine="560"/>
        <w:jc w:val="center"/>
        <w:rPr>
          <w:rFonts w:ascii="宋体" w:cs="宋体"/>
          <w:color w:val="000000"/>
          <w:kern w:val="0"/>
          <w:szCs w:val="28"/>
        </w:rPr>
      </w:pPr>
    </w:p>
    <w:p>
      <w:pPr>
        <w:ind w:firstLine="560"/>
        <w:jc w:val="center"/>
        <w:rPr>
          <w:rFonts w:ascii="宋体" w:cs="宋体"/>
          <w:color w:val="000000"/>
          <w:kern w:val="0"/>
          <w:szCs w:val="28"/>
        </w:rPr>
      </w:pPr>
    </w:p>
    <w:p>
      <w:pPr>
        <w:pStyle w:val="2"/>
        <w:numPr>
          <w:ilvl w:val="0"/>
          <w:numId w:val="0"/>
        </w:numPr>
        <w:ind w:left="420"/>
        <w:rPr>
          <w:rFonts w:ascii="宋体" w:cs="宋体"/>
          <w:color w:val="000000"/>
          <w:kern w:val="0"/>
          <w:sz w:val="28"/>
          <w:szCs w:val="28"/>
        </w:rPr>
      </w:pPr>
    </w:p>
    <w:p>
      <w:pPr>
        <w:pStyle w:val="2"/>
        <w:numPr>
          <w:ilvl w:val="0"/>
          <w:numId w:val="0"/>
        </w:numPr>
        <w:ind w:left="420"/>
        <w:rPr>
          <w:rFonts w:ascii="宋体" w:cs="宋体"/>
          <w:color w:val="000000"/>
          <w:kern w:val="0"/>
          <w:sz w:val="28"/>
          <w:szCs w:val="28"/>
        </w:rPr>
      </w:pPr>
    </w:p>
    <w:p>
      <w:pPr>
        <w:ind w:firstLine="560"/>
        <w:jc w:val="center"/>
        <w:rPr>
          <w:rFonts w:ascii="宋体" w:cs="宋体"/>
          <w:color w:val="000000"/>
          <w:kern w:val="0"/>
          <w:szCs w:val="28"/>
        </w:rPr>
      </w:pPr>
    </w:p>
    <w:p>
      <w:pPr>
        <w:ind w:firstLine="0" w:firstLineChars="0"/>
        <w:jc w:val="center"/>
        <w:rPr>
          <w:rFonts w:ascii="仿宋_GB2312" w:cs="宋体"/>
          <w:color w:val="000000"/>
          <w:kern w:val="0"/>
          <w:szCs w:val="28"/>
        </w:rPr>
      </w:pPr>
      <w:r>
        <w:rPr>
          <w:rFonts w:hint="eastAsia" w:ascii="仿宋_GB2312" w:hAnsi="宋体" w:cs="宋体"/>
          <w:color w:val="000000"/>
          <w:kern w:val="0"/>
          <w:szCs w:val="28"/>
        </w:rPr>
        <w:t>表2-1  调整后的措施项目费费率（一般计税法）</w:t>
      </w:r>
    </w:p>
    <w:tbl>
      <w:tblPr>
        <w:tblStyle w:val="22"/>
        <w:tblW w:w="8520" w:type="dxa"/>
        <w:tblInd w:w="93" w:type="dxa"/>
        <w:tblLayout w:type="autofit"/>
        <w:tblCellMar>
          <w:top w:w="0" w:type="dxa"/>
          <w:left w:w="108" w:type="dxa"/>
          <w:bottom w:w="0" w:type="dxa"/>
          <w:right w:w="108" w:type="dxa"/>
        </w:tblCellMar>
      </w:tblPr>
      <w:tblGrid>
        <w:gridCol w:w="1180"/>
        <w:gridCol w:w="1387"/>
        <w:gridCol w:w="1276"/>
        <w:gridCol w:w="2551"/>
        <w:gridCol w:w="2126"/>
      </w:tblGrid>
      <w:tr>
        <w:tblPrEx>
          <w:tblCellMar>
            <w:top w:w="0" w:type="dxa"/>
            <w:left w:w="108" w:type="dxa"/>
            <w:bottom w:w="0" w:type="dxa"/>
            <w:right w:w="108" w:type="dxa"/>
          </w:tblCellMar>
        </w:tblPrEx>
        <w:trPr>
          <w:trHeight w:val="1063" w:hRule="atLeast"/>
        </w:trPr>
        <w:tc>
          <w:tcPr>
            <w:tcW w:w="2567"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项目</w:t>
            </w:r>
          </w:p>
        </w:tc>
        <w:tc>
          <w:tcPr>
            <w:tcW w:w="1276"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计算基础</w:t>
            </w:r>
          </w:p>
        </w:tc>
        <w:tc>
          <w:tcPr>
            <w:tcW w:w="2551"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混凝土构件单独</w:t>
            </w:r>
          </w:p>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吊装工程 (%)</w:t>
            </w:r>
          </w:p>
        </w:tc>
        <w:tc>
          <w:tcPr>
            <w:tcW w:w="2126"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装配式混凝土</w:t>
            </w:r>
          </w:p>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房屋建筑工程(%)</w:t>
            </w:r>
          </w:p>
        </w:tc>
      </w:tr>
      <w:tr>
        <w:tblPrEx>
          <w:tblCellMar>
            <w:top w:w="0" w:type="dxa"/>
            <w:left w:w="108" w:type="dxa"/>
            <w:bottom w:w="0" w:type="dxa"/>
            <w:right w:w="108" w:type="dxa"/>
          </w:tblCellMar>
        </w:tblPrEx>
        <w:trPr>
          <w:trHeight w:val="384" w:hRule="atLeast"/>
        </w:trPr>
        <w:tc>
          <w:tcPr>
            <w:tcW w:w="2567"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夜间施工</w:t>
            </w:r>
          </w:p>
        </w:tc>
        <w:tc>
          <w:tcPr>
            <w:tcW w:w="1276" w:type="dxa"/>
            <w:vMerge w:val="restart"/>
            <w:tcBorders>
              <w:top w:val="nil"/>
              <w:left w:val="single" w:color="auto" w:sz="4" w:space="0"/>
              <w:bottom w:val="single" w:color="000000"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分部分项工程费</w:t>
            </w:r>
            <w:r>
              <w:rPr>
                <w:color w:val="000000"/>
                <w:kern w:val="0"/>
                <w:sz w:val="24"/>
              </w:rPr>
              <w:t>+</w:t>
            </w:r>
            <w:r>
              <w:rPr>
                <w:rFonts w:hint="eastAsia" w:ascii="仿宋_GB2312" w:hAnsi="宋体" w:cs="宋体"/>
                <w:color w:val="000000"/>
                <w:kern w:val="0"/>
                <w:sz w:val="24"/>
              </w:rPr>
              <w:t>单价措施项目费</w:t>
            </w:r>
            <w:r>
              <w:rPr>
                <w:color w:val="000000"/>
                <w:kern w:val="0"/>
                <w:sz w:val="24"/>
              </w:rPr>
              <w:t>-</w:t>
            </w:r>
            <w:r>
              <w:rPr>
                <w:rFonts w:hint="eastAsia" w:ascii="仿宋_GB2312" w:hAnsi="宋体" w:cs="宋体"/>
                <w:color w:val="000000"/>
                <w:kern w:val="0"/>
                <w:sz w:val="24"/>
              </w:rPr>
              <w:t>除税工程设备费</w:t>
            </w:r>
          </w:p>
        </w:tc>
        <w:tc>
          <w:tcPr>
            <w:tcW w:w="2551"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w:t>
            </w:r>
          </w:p>
        </w:tc>
        <w:tc>
          <w:tcPr>
            <w:tcW w:w="2126" w:type="dxa"/>
            <w:tcBorders>
              <w:top w:val="nil"/>
              <w:left w:val="nil"/>
              <w:bottom w:val="single" w:color="auto" w:sz="4" w:space="0"/>
              <w:right w:val="single" w:color="auto" w:sz="4" w:space="0"/>
            </w:tcBorders>
            <w:vAlign w:val="center"/>
          </w:tcPr>
          <w:p>
            <w:pPr>
              <w:widowControl/>
              <w:ind w:firstLine="0" w:firstLineChars="0"/>
              <w:jc w:val="center"/>
              <w:rPr>
                <w:color w:val="000000"/>
                <w:kern w:val="0"/>
                <w:sz w:val="24"/>
                <w:szCs w:val="24"/>
              </w:rPr>
            </w:pPr>
            <w:r>
              <w:rPr>
                <w:color w:val="000000"/>
                <w:kern w:val="0"/>
                <w:sz w:val="24"/>
              </w:rPr>
              <w:t>0.08</w:t>
            </w:r>
          </w:p>
        </w:tc>
      </w:tr>
      <w:tr>
        <w:tblPrEx>
          <w:tblCellMar>
            <w:top w:w="0" w:type="dxa"/>
            <w:left w:w="108" w:type="dxa"/>
            <w:bottom w:w="0" w:type="dxa"/>
            <w:right w:w="108" w:type="dxa"/>
          </w:tblCellMar>
        </w:tblPrEx>
        <w:trPr>
          <w:trHeight w:val="450" w:hRule="atLeast"/>
        </w:trPr>
        <w:tc>
          <w:tcPr>
            <w:tcW w:w="2567"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冬雨季施工</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szCs w:val="24"/>
              </w:rPr>
            </w:pPr>
            <w:r>
              <w:rPr>
                <w:color w:val="000000"/>
                <w:kern w:val="0"/>
                <w:sz w:val="24"/>
              </w:rPr>
              <w:t>0.18</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已完工程及设备保护</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szCs w:val="24"/>
              </w:rPr>
            </w:pPr>
            <w:r>
              <w:rPr>
                <w:color w:val="000000"/>
                <w:kern w:val="0"/>
                <w:sz w:val="24"/>
              </w:rPr>
              <w:t>0.05</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临时设施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2.10 </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赶工措施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（提前天数／定额工期天数）×</w:t>
            </w:r>
            <w:r>
              <w:rPr>
                <w:color w:val="000000"/>
                <w:kern w:val="0"/>
                <w:sz w:val="24"/>
              </w:rPr>
              <w:t>2.10</w:t>
            </w:r>
            <w:r>
              <w:rPr>
                <w:rFonts w:hint="eastAsia" w:ascii="仿宋_GB2312" w:hAnsi="宋体" w:cs="宋体"/>
                <w:color w:val="000000"/>
                <w:kern w:val="0"/>
                <w:sz w:val="24"/>
              </w:rPr>
              <w:t>／</w:t>
            </w:r>
            <w:r>
              <w:rPr>
                <w:kern w:val="0"/>
                <w:sz w:val="24"/>
              </w:rPr>
              <w:t>0.35</w:t>
            </w:r>
          </w:p>
        </w:tc>
      </w:tr>
      <w:tr>
        <w:tblPrEx>
          <w:tblCellMar>
            <w:top w:w="0" w:type="dxa"/>
            <w:left w:w="108" w:type="dxa"/>
            <w:bottom w:w="0" w:type="dxa"/>
            <w:right w:w="108" w:type="dxa"/>
          </w:tblCellMar>
        </w:tblPrEx>
        <w:trPr>
          <w:trHeight w:val="402" w:hRule="atLeast"/>
        </w:trPr>
        <w:tc>
          <w:tcPr>
            <w:tcW w:w="1180" w:type="dxa"/>
            <w:vMerge w:val="restart"/>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按质论价</w:t>
            </w: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县级市优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0.70 </w:t>
            </w:r>
          </w:p>
        </w:tc>
      </w:tr>
      <w:tr>
        <w:tblPrEx>
          <w:tblCellMar>
            <w:top w:w="0" w:type="dxa"/>
            <w:left w:w="108" w:type="dxa"/>
            <w:bottom w:w="0" w:type="dxa"/>
            <w:right w:w="108" w:type="dxa"/>
          </w:tblCellMar>
        </w:tblPrEx>
        <w:trPr>
          <w:trHeight w:val="402" w:hRule="atLeast"/>
        </w:trPr>
        <w:tc>
          <w:tcPr>
            <w:tcW w:w="0" w:type="auto"/>
            <w:vMerge w:val="continue"/>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left"/>
              <w:rPr>
                <w:rFonts w:ascii="仿宋_GB2312" w:hAnsi="宋体" w:cs="宋体"/>
                <w:color w:val="000000"/>
                <w:kern w:val="0"/>
                <w:sz w:val="24"/>
                <w:szCs w:val="24"/>
              </w:rPr>
            </w:pP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市优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1.10 </w:t>
            </w:r>
          </w:p>
        </w:tc>
      </w:tr>
      <w:tr>
        <w:tblPrEx>
          <w:tblCellMar>
            <w:top w:w="0" w:type="dxa"/>
            <w:left w:w="108" w:type="dxa"/>
            <w:bottom w:w="0" w:type="dxa"/>
            <w:right w:w="108" w:type="dxa"/>
          </w:tblCellMar>
        </w:tblPrEx>
        <w:trPr>
          <w:trHeight w:val="402" w:hRule="atLeast"/>
        </w:trPr>
        <w:tc>
          <w:tcPr>
            <w:tcW w:w="0" w:type="auto"/>
            <w:vMerge w:val="continue"/>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left"/>
              <w:rPr>
                <w:rFonts w:ascii="仿宋_GB2312" w:hAnsi="宋体" w:cs="宋体"/>
                <w:color w:val="000000"/>
                <w:kern w:val="0"/>
                <w:sz w:val="24"/>
                <w:szCs w:val="24"/>
              </w:rPr>
            </w:pP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省优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2.10 </w:t>
            </w:r>
          </w:p>
        </w:tc>
      </w:tr>
      <w:tr>
        <w:tblPrEx>
          <w:tblCellMar>
            <w:top w:w="0" w:type="dxa"/>
            <w:left w:w="108" w:type="dxa"/>
            <w:bottom w:w="0" w:type="dxa"/>
            <w:right w:w="108" w:type="dxa"/>
          </w:tblCellMar>
        </w:tblPrEx>
        <w:trPr>
          <w:trHeight w:val="257" w:hRule="atLeast"/>
        </w:trPr>
        <w:tc>
          <w:tcPr>
            <w:tcW w:w="0" w:type="auto"/>
            <w:vMerge w:val="continue"/>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left"/>
              <w:rPr>
                <w:rFonts w:ascii="仿宋_GB2312" w:hAnsi="宋体" w:cs="宋体"/>
                <w:color w:val="000000"/>
                <w:kern w:val="0"/>
                <w:sz w:val="24"/>
                <w:szCs w:val="24"/>
              </w:rPr>
            </w:pP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国优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3.10 </w:t>
            </w:r>
          </w:p>
        </w:tc>
      </w:tr>
    </w:tbl>
    <w:p>
      <w:pPr>
        <w:ind w:firstLine="560"/>
        <w:rPr>
          <w:rFonts w:ascii="宋体" w:cs="宋体"/>
          <w:color w:val="000000"/>
          <w:kern w:val="0"/>
          <w:szCs w:val="28"/>
        </w:rPr>
      </w:pPr>
    </w:p>
    <w:p>
      <w:pPr>
        <w:ind w:firstLine="0" w:firstLineChars="0"/>
        <w:jc w:val="center"/>
        <w:rPr>
          <w:rFonts w:ascii="仿宋_GB2312" w:cs="宋体"/>
          <w:color w:val="000000"/>
          <w:kern w:val="0"/>
          <w:szCs w:val="28"/>
        </w:rPr>
      </w:pPr>
      <w:r>
        <w:rPr>
          <w:rFonts w:hint="eastAsia" w:ascii="仿宋_GB2312" w:hAnsi="宋体" w:cs="宋体"/>
          <w:color w:val="000000"/>
          <w:kern w:val="0"/>
          <w:szCs w:val="28"/>
        </w:rPr>
        <w:t>表2-2  调整后的措施项目费费率（简易计税法）</w:t>
      </w:r>
    </w:p>
    <w:tbl>
      <w:tblPr>
        <w:tblStyle w:val="22"/>
        <w:tblW w:w="8520" w:type="dxa"/>
        <w:tblInd w:w="93" w:type="dxa"/>
        <w:tblLayout w:type="autofit"/>
        <w:tblCellMar>
          <w:top w:w="0" w:type="dxa"/>
          <w:left w:w="108" w:type="dxa"/>
          <w:bottom w:w="0" w:type="dxa"/>
          <w:right w:w="108" w:type="dxa"/>
        </w:tblCellMar>
      </w:tblPr>
      <w:tblGrid>
        <w:gridCol w:w="1180"/>
        <w:gridCol w:w="1387"/>
        <w:gridCol w:w="1276"/>
        <w:gridCol w:w="2551"/>
        <w:gridCol w:w="2126"/>
      </w:tblGrid>
      <w:tr>
        <w:tblPrEx>
          <w:tblCellMar>
            <w:top w:w="0" w:type="dxa"/>
            <w:left w:w="108" w:type="dxa"/>
            <w:bottom w:w="0" w:type="dxa"/>
            <w:right w:w="108" w:type="dxa"/>
          </w:tblCellMar>
        </w:tblPrEx>
        <w:trPr>
          <w:trHeight w:val="1063" w:hRule="atLeast"/>
        </w:trPr>
        <w:tc>
          <w:tcPr>
            <w:tcW w:w="2567"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项目</w:t>
            </w:r>
          </w:p>
        </w:tc>
        <w:tc>
          <w:tcPr>
            <w:tcW w:w="1276"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计算基础</w:t>
            </w:r>
          </w:p>
        </w:tc>
        <w:tc>
          <w:tcPr>
            <w:tcW w:w="2551"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混凝土构件单独</w:t>
            </w:r>
          </w:p>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吊装工程 (%)</w:t>
            </w:r>
          </w:p>
        </w:tc>
        <w:tc>
          <w:tcPr>
            <w:tcW w:w="2126"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装配式混凝土</w:t>
            </w:r>
          </w:p>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房屋建筑工程(%)</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夜间施工</w:t>
            </w:r>
          </w:p>
        </w:tc>
        <w:tc>
          <w:tcPr>
            <w:tcW w:w="1276" w:type="dxa"/>
            <w:vMerge w:val="restart"/>
            <w:tcBorders>
              <w:top w:val="nil"/>
              <w:left w:val="single" w:color="auto" w:sz="4" w:space="0"/>
              <w:bottom w:val="single" w:color="000000"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分部分项工程费</w:t>
            </w:r>
            <w:r>
              <w:rPr>
                <w:color w:val="000000"/>
                <w:kern w:val="0"/>
                <w:sz w:val="24"/>
              </w:rPr>
              <w:t>+</w:t>
            </w:r>
            <w:r>
              <w:rPr>
                <w:rFonts w:hint="eastAsia" w:ascii="仿宋_GB2312" w:hAnsi="宋体" w:cs="宋体"/>
                <w:color w:val="000000"/>
                <w:kern w:val="0"/>
                <w:sz w:val="24"/>
              </w:rPr>
              <w:t>单价措施项目费</w:t>
            </w:r>
            <w:r>
              <w:rPr>
                <w:color w:val="000000"/>
                <w:kern w:val="0"/>
                <w:sz w:val="24"/>
              </w:rPr>
              <w:t>-</w:t>
            </w:r>
            <w:r>
              <w:rPr>
                <w:rFonts w:hint="eastAsia" w:ascii="仿宋_GB2312" w:hAnsi="宋体" w:cs="宋体"/>
                <w:color w:val="000000"/>
                <w:kern w:val="0"/>
                <w:sz w:val="24"/>
              </w:rPr>
              <w:t>工程设备费</w:t>
            </w:r>
          </w:p>
        </w:tc>
        <w:tc>
          <w:tcPr>
            <w:tcW w:w="2551"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w:t>
            </w:r>
          </w:p>
        </w:tc>
        <w:tc>
          <w:tcPr>
            <w:tcW w:w="2126" w:type="dxa"/>
            <w:tcBorders>
              <w:top w:val="nil"/>
              <w:left w:val="nil"/>
              <w:bottom w:val="single" w:color="auto" w:sz="4" w:space="0"/>
              <w:right w:val="single" w:color="auto" w:sz="4" w:space="0"/>
            </w:tcBorders>
            <w:vAlign w:val="center"/>
          </w:tcPr>
          <w:p>
            <w:pPr>
              <w:widowControl/>
              <w:ind w:firstLine="0" w:firstLineChars="0"/>
              <w:jc w:val="center"/>
              <w:rPr>
                <w:color w:val="000000"/>
                <w:kern w:val="0"/>
                <w:sz w:val="24"/>
                <w:szCs w:val="24"/>
              </w:rPr>
            </w:pPr>
            <w:r>
              <w:rPr>
                <w:color w:val="000000"/>
                <w:kern w:val="0"/>
                <w:sz w:val="24"/>
              </w:rPr>
              <w:t>0.08</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冬雨季施工</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szCs w:val="24"/>
              </w:rPr>
            </w:pPr>
            <w:r>
              <w:rPr>
                <w:color w:val="000000"/>
                <w:kern w:val="0"/>
                <w:sz w:val="24"/>
              </w:rPr>
              <w:t>0.18</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已完工程及设备保护</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szCs w:val="24"/>
              </w:rPr>
            </w:pPr>
            <w:r>
              <w:rPr>
                <w:color w:val="000000"/>
                <w:kern w:val="0"/>
                <w:sz w:val="24"/>
              </w:rPr>
              <w:t>0.05</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临时设施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2.00 </w:t>
            </w:r>
          </w:p>
        </w:tc>
      </w:tr>
      <w:tr>
        <w:tblPrEx>
          <w:tblCellMar>
            <w:top w:w="0" w:type="dxa"/>
            <w:left w:w="108" w:type="dxa"/>
            <w:bottom w:w="0" w:type="dxa"/>
            <w:right w:w="108" w:type="dxa"/>
          </w:tblCellMar>
        </w:tblPrEx>
        <w:trPr>
          <w:trHeight w:val="402" w:hRule="atLeast"/>
        </w:trPr>
        <w:tc>
          <w:tcPr>
            <w:tcW w:w="2567"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赶工措施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（提前天数／定额工期天数）×</w:t>
            </w:r>
            <w:r>
              <w:rPr>
                <w:color w:val="000000"/>
                <w:kern w:val="0"/>
                <w:sz w:val="24"/>
              </w:rPr>
              <w:t>2.00</w:t>
            </w:r>
            <w:r>
              <w:rPr>
                <w:rFonts w:hint="eastAsia" w:ascii="仿宋_GB2312" w:hAnsi="宋体" w:cs="宋体"/>
                <w:color w:val="000000"/>
                <w:kern w:val="0"/>
                <w:sz w:val="24"/>
              </w:rPr>
              <w:t>／</w:t>
            </w:r>
            <w:r>
              <w:rPr>
                <w:kern w:val="0"/>
                <w:sz w:val="24"/>
              </w:rPr>
              <w:t>0.35</w:t>
            </w:r>
          </w:p>
        </w:tc>
      </w:tr>
      <w:tr>
        <w:tblPrEx>
          <w:tblCellMar>
            <w:top w:w="0" w:type="dxa"/>
            <w:left w:w="108" w:type="dxa"/>
            <w:bottom w:w="0" w:type="dxa"/>
            <w:right w:w="108" w:type="dxa"/>
          </w:tblCellMar>
        </w:tblPrEx>
        <w:trPr>
          <w:trHeight w:val="402" w:hRule="atLeast"/>
        </w:trPr>
        <w:tc>
          <w:tcPr>
            <w:tcW w:w="1180" w:type="dxa"/>
            <w:vMerge w:val="restart"/>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按质论价</w:t>
            </w: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县级市优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0.60 </w:t>
            </w:r>
          </w:p>
        </w:tc>
      </w:tr>
      <w:tr>
        <w:tblPrEx>
          <w:tblCellMar>
            <w:top w:w="0" w:type="dxa"/>
            <w:left w:w="108" w:type="dxa"/>
            <w:bottom w:w="0" w:type="dxa"/>
            <w:right w:w="108" w:type="dxa"/>
          </w:tblCellMar>
        </w:tblPrEx>
        <w:trPr>
          <w:trHeight w:val="402" w:hRule="atLeast"/>
        </w:trPr>
        <w:tc>
          <w:tcPr>
            <w:tcW w:w="0" w:type="auto"/>
            <w:vMerge w:val="continue"/>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left"/>
              <w:rPr>
                <w:rFonts w:ascii="仿宋_GB2312" w:hAnsi="宋体" w:cs="宋体"/>
                <w:color w:val="000000"/>
                <w:kern w:val="0"/>
                <w:sz w:val="24"/>
                <w:szCs w:val="24"/>
              </w:rPr>
            </w:pP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市优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1.00 </w:t>
            </w:r>
          </w:p>
        </w:tc>
      </w:tr>
      <w:tr>
        <w:tblPrEx>
          <w:tblCellMar>
            <w:top w:w="0" w:type="dxa"/>
            <w:left w:w="108" w:type="dxa"/>
            <w:bottom w:w="0" w:type="dxa"/>
            <w:right w:w="108" w:type="dxa"/>
          </w:tblCellMar>
        </w:tblPrEx>
        <w:trPr>
          <w:trHeight w:val="402" w:hRule="atLeast"/>
        </w:trPr>
        <w:tc>
          <w:tcPr>
            <w:tcW w:w="0" w:type="auto"/>
            <w:vMerge w:val="continue"/>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left"/>
              <w:rPr>
                <w:rFonts w:ascii="仿宋_GB2312" w:hAnsi="宋体" w:cs="宋体"/>
                <w:color w:val="000000"/>
                <w:kern w:val="0"/>
                <w:sz w:val="24"/>
                <w:szCs w:val="24"/>
              </w:rPr>
            </w:pP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省优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2.00 </w:t>
            </w:r>
          </w:p>
        </w:tc>
      </w:tr>
      <w:tr>
        <w:tblPrEx>
          <w:tblCellMar>
            <w:top w:w="0" w:type="dxa"/>
            <w:left w:w="108" w:type="dxa"/>
            <w:bottom w:w="0" w:type="dxa"/>
            <w:right w:w="108" w:type="dxa"/>
          </w:tblCellMar>
        </w:tblPrEx>
        <w:trPr>
          <w:trHeight w:val="257" w:hRule="atLeast"/>
        </w:trPr>
        <w:tc>
          <w:tcPr>
            <w:tcW w:w="0" w:type="auto"/>
            <w:vMerge w:val="continue"/>
            <w:tcBorders>
              <w:top w:val="single" w:color="auto" w:sz="4" w:space="0"/>
              <w:left w:val="single" w:color="auto" w:sz="4" w:space="0"/>
              <w:bottom w:val="single" w:color="000000" w:sz="4" w:space="0"/>
              <w:right w:val="single" w:color="000000" w:sz="4" w:space="0"/>
            </w:tcBorders>
            <w:vAlign w:val="center"/>
          </w:tcPr>
          <w:p>
            <w:pPr>
              <w:widowControl/>
              <w:ind w:firstLine="0" w:firstLineChars="0"/>
              <w:jc w:val="left"/>
              <w:rPr>
                <w:rFonts w:ascii="仿宋_GB2312" w:hAnsi="宋体" w:cs="宋体"/>
                <w:color w:val="000000"/>
                <w:kern w:val="0"/>
                <w:sz w:val="24"/>
                <w:szCs w:val="24"/>
              </w:rPr>
            </w:pPr>
          </w:p>
        </w:tc>
        <w:tc>
          <w:tcPr>
            <w:tcW w:w="1387" w:type="dxa"/>
            <w:tcBorders>
              <w:top w:val="nil"/>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国优</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4677" w:type="dxa"/>
            <w:gridSpan w:val="2"/>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szCs w:val="24"/>
              </w:rPr>
            </w:pPr>
            <w:r>
              <w:rPr>
                <w:color w:val="000000"/>
                <w:kern w:val="0"/>
                <w:sz w:val="24"/>
              </w:rPr>
              <w:t xml:space="preserve">3.00 </w:t>
            </w:r>
          </w:p>
        </w:tc>
      </w:tr>
    </w:tbl>
    <w:p>
      <w:pPr>
        <w:ind w:firstLine="560"/>
      </w:pPr>
    </w:p>
    <w:p>
      <w:pPr>
        <w:ind w:firstLine="560"/>
      </w:pPr>
      <w:r>
        <w:rPr>
          <w:rFonts w:hint="eastAsia"/>
        </w:rPr>
        <w:t>二、《江苏省装配式混凝土建筑工程定额（试行）》以及本文之规定，从2017年5月1日起开始执行。适用于2017年5月1日起发布招标文件的招投标工程和签订施工合同的非招投标工程。</w:t>
      </w:r>
    </w:p>
    <w:p>
      <w:pPr>
        <w:ind w:firstLine="560"/>
      </w:pPr>
    </w:p>
    <w:p>
      <w:pPr>
        <w:ind w:firstLine="560"/>
      </w:pPr>
    </w:p>
    <w:p>
      <w:pPr>
        <w:ind w:firstLine="560"/>
      </w:pPr>
      <w:r>
        <w:rPr>
          <w:rFonts w:hint="eastAsia"/>
        </w:rPr>
        <w:t>(此页无正文)</w:t>
      </w:r>
    </w:p>
    <w:p>
      <w:pPr>
        <w:ind w:firstLine="560"/>
      </w:pPr>
    </w:p>
    <w:p>
      <w:pPr>
        <w:ind w:firstLine="560"/>
      </w:pPr>
    </w:p>
    <w:p>
      <w:pPr>
        <w:ind w:firstLine="560"/>
      </w:pPr>
    </w:p>
    <w:p>
      <w:pPr>
        <w:ind w:firstLine="560"/>
      </w:pPr>
    </w:p>
    <w:p>
      <w:pPr>
        <w:ind w:firstLine="560"/>
      </w:pPr>
    </w:p>
    <w:p>
      <w:pPr>
        <w:ind w:firstLine="560"/>
      </w:pPr>
    </w:p>
    <w:p>
      <w:pPr>
        <w:ind w:firstLine="4200" w:firstLineChars="1500"/>
      </w:pPr>
      <w:r>
        <w:rPr>
          <w:rFonts w:hint="eastAsia"/>
        </w:rPr>
        <w:t>苏州市住房和城乡建设局</w:t>
      </w:r>
    </w:p>
    <w:p>
      <w:pPr>
        <w:ind w:firstLine="4564" w:firstLineChars="1630"/>
      </w:pPr>
      <w:r>
        <w:rPr>
          <w:rFonts w:hint="eastAsia"/>
        </w:rPr>
        <w:t>2017年4月16日</w:t>
      </w: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spacing w:line="500" w:lineRule="exact"/>
        <w:ind w:right="329" w:firstLine="520"/>
        <w:rPr>
          <w:rFonts w:ascii="仿宋_GB2312"/>
          <w:spacing w:val="-10"/>
          <w:szCs w:val="32"/>
        </w:rPr>
      </w:pPr>
    </w:p>
    <w:p>
      <w:pPr>
        <w:widowControl/>
        <w:ind w:firstLine="560"/>
        <w:jc w:val="left"/>
        <w:rPr>
          <w:rFonts w:ascii="仿宋_GB2312"/>
        </w:rPr>
      </w:pPr>
      <w:r>
        <w:rPr>
          <w:rFonts w:ascii="仿宋_GB2312"/>
        </w:rPr>
        <w:br w:type="page"/>
      </w:r>
    </w:p>
    <w:p>
      <w:pPr>
        <w:spacing w:line="540" w:lineRule="exact"/>
        <w:ind w:firstLine="560"/>
        <w:rPr>
          <w:rFonts w:ascii="仿宋_GB2312"/>
        </w:rPr>
      </w:pPr>
    </w:p>
    <w:p>
      <w:pPr>
        <w:spacing w:line="540" w:lineRule="exact"/>
        <w:ind w:firstLine="560"/>
        <w:rPr>
          <w:rFonts w:ascii="仿宋_GB2312"/>
        </w:rPr>
      </w:pPr>
      <w:r>
        <w:drawing>
          <wp:anchor distT="0" distB="0" distL="114300" distR="114300" simplePos="0" relativeHeight="251668480" behindDoc="1" locked="0" layoutInCell="1" allowOverlap="1">
            <wp:simplePos x="0" y="0"/>
            <wp:positionH relativeFrom="column">
              <wp:posOffset>-127000</wp:posOffset>
            </wp:positionH>
            <wp:positionV relativeFrom="paragraph">
              <wp:posOffset>115570</wp:posOffset>
            </wp:positionV>
            <wp:extent cx="6143625" cy="2189480"/>
            <wp:effectExtent l="0" t="0" r="0" b="1270"/>
            <wp:wrapNone/>
            <wp:docPr id="669283" name="图片 0"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83" name="图片 0" descr="苏州市住房和城乡建设局DL.wmf"/>
                    <pic:cNvPicPr>
                      <a:picLocks noChangeAspect="1" noChangeArrowheads="1"/>
                    </pic:cNvPicPr>
                  </pic:nvPicPr>
                  <pic:blipFill>
                    <a:blip r:embed="rId32"/>
                    <a:srcRect l="9656" t="47639" r="9110"/>
                    <a:stretch>
                      <a:fillRect/>
                    </a:stretch>
                  </pic:blipFill>
                  <pic:spPr>
                    <a:xfrm>
                      <a:off x="0" y="0"/>
                      <a:ext cx="6143625" cy="2189480"/>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872" w:name="_Toc18451"/>
      <w:bookmarkStart w:id="873" w:name="_Toc11395"/>
      <w:bookmarkStart w:id="874" w:name="_Toc22174"/>
      <w:bookmarkStart w:id="875" w:name="_Toc25245"/>
      <w:bookmarkStart w:id="876" w:name="_Toc8004"/>
      <w:bookmarkStart w:id="877" w:name="_Toc2472"/>
      <w:bookmarkStart w:id="878" w:name="_Toc19995"/>
      <w:bookmarkStart w:id="879" w:name="_Toc10212"/>
      <w:bookmarkStart w:id="880" w:name="_Toc15528"/>
      <w:bookmarkStart w:id="881" w:name="_Toc6571"/>
      <w:bookmarkStart w:id="882" w:name="_Toc24998"/>
      <w:r>
        <w:rPr>
          <w:rFonts w:hint="eastAsia"/>
        </w:rPr>
        <w:t>苏住建价〔2018〕2号</w:t>
      </w:r>
      <w:bookmarkEnd w:id="872"/>
      <w:bookmarkEnd w:id="873"/>
      <w:bookmarkEnd w:id="874"/>
      <w:bookmarkEnd w:id="875"/>
      <w:bookmarkEnd w:id="876"/>
      <w:bookmarkEnd w:id="877"/>
      <w:bookmarkEnd w:id="878"/>
      <w:bookmarkEnd w:id="879"/>
      <w:bookmarkEnd w:id="880"/>
      <w:bookmarkEnd w:id="881"/>
      <w:bookmarkEnd w:id="882"/>
    </w:p>
    <w:p>
      <w:pPr>
        <w:pStyle w:val="20"/>
        <w:spacing w:before="0" w:beforeAutospacing="0" w:after="0" w:afterAutospacing="0" w:line="600" w:lineRule="exact"/>
        <w:ind w:left="856" w:firstLine="478"/>
        <w:rPr>
          <w:rFonts w:ascii="Times New Roman" w:hAnsi="Times New Roman" w:eastAsia="楷体_GB2312" w:cs="Times New Roman"/>
          <w:w w:val="80"/>
          <w:kern w:val="2"/>
          <w:sz w:val="30"/>
          <w:szCs w:val="20"/>
        </w:rPr>
      </w:pPr>
    </w:p>
    <w:p>
      <w:pPr>
        <w:pStyle w:val="20"/>
        <w:spacing w:before="0" w:beforeAutospacing="0" w:after="0" w:afterAutospacing="0" w:line="600" w:lineRule="exact"/>
        <w:ind w:left="856" w:firstLine="478"/>
        <w:rPr>
          <w:rFonts w:ascii="Times New Roman" w:hAnsi="Times New Roman" w:eastAsia="楷体_GB2312" w:cs="Times New Roman"/>
          <w:w w:val="80"/>
          <w:kern w:val="2"/>
          <w:sz w:val="30"/>
          <w:szCs w:val="20"/>
        </w:rPr>
      </w:pPr>
    </w:p>
    <w:p>
      <w:pPr>
        <w:pStyle w:val="3"/>
      </w:pPr>
      <w:bookmarkStart w:id="883" w:name="_Toc25107"/>
      <w:bookmarkStart w:id="884" w:name="_Toc24124"/>
      <w:bookmarkStart w:id="885" w:name="_Toc26399"/>
      <w:bookmarkStart w:id="886" w:name="_Toc8688"/>
      <w:bookmarkStart w:id="887" w:name="_Toc30770"/>
      <w:bookmarkStart w:id="888" w:name="_Toc15028"/>
      <w:bookmarkStart w:id="889" w:name="_Toc28414"/>
      <w:bookmarkStart w:id="890" w:name="_Toc20190"/>
      <w:bookmarkStart w:id="891" w:name="_Toc28696"/>
      <w:bookmarkStart w:id="892" w:name="_Toc14368"/>
      <w:bookmarkStart w:id="893" w:name="_Toc26760"/>
      <w:bookmarkStart w:id="894" w:name="_Toc17798"/>
      <w:bookmarkStart w:id="895" w:name="_Toc5054"/>
      <w:bookmarkStart w:id="896" w:name="_Toc18815"/>
      <w:r>
        <w:rPr>
          <w:rFonts w:hint="eastAsia" w:ascii="方正小标宋_GBK" w:hAnsi="宋体"/>
        </w:rPr>
        <w:t>市住房城乡建</w:t>
      </w:r>
      <w:r>
        <w:rPr>
          <w:rFonts w:hint="eastAsia"/>
        </w:rPr>
        <w:t>设局关于转发《省住房城乡</w:t>
      </w:r>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pPr>
        <w:pStyle w:val="3"/>
      </w:pPr>
      <w:bookmarkStart w:id="897" w:name="_Toc27837"/>
      <w:bookmarkStart w:id="898" w:name="_Toc6866"/>
      <w:bookmarkStart w:id="899" w:name="_Toc197"/>
      <w:bookmarkStart w:id="900" w:name="_Toc32623"/>
      <w:bookmarkStart w:id="901" w:name="_Toc30552"/>
      <w:bookmarkStart w:id="902" w:name="_Toc29130"/>
      <w:bookmarkStart w:id="903" w:name="_Toc16520"/>
      <w:bookmarkStart w:id="904" w:name="_Toc3159"/>
      <w:bookmarkStart w:id="905" w:name="_Toc11374"/>
      <w:bookmarkStart w:id="906" w:name="_Toc31626"/>
      <w:bookmarkStart w:id="907" w:name="_Toc19242"/>
      <w:bookmarkStart w:id="908" w:name="_Toc26114"/>
      <w:bookmarkStart w:id="909" w:name="_Toc16463"/>
      <w:bookmarkStart w:id="910" w:name="_Toc1575"/>
      <w:r>
        <w:rPr>
          <w:rFonts w:hint="eastAsia"/>
        </w:rPr>
        <w:t>建设厅关于建筑业增值税计价</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p>
      <w:pPr>
        <w:pStyle w:val="3"/>
        <w:rPr>
          <w:rFonts w:ascii="宋体" w:hAnsi="宋体"/>
          <w:w w:val="80"/>
        </w:rPr>
      </w:pPr>
      <w:bookmarkStart w:id="911" w:name="_Toc26141"/>
      <w:bookmarkStart w:id="912" w:name="_Toc18363"/>
      <w:bookmarkStart w:id="913" w:name="_Toc24895"/>
      <w:bookmarkStart w:id="914" w:name="_Toc27100"/>
      <w:bookmarkStart w:id="915" w:name="_Toc25894"/>
      <w:bookmarkStart w:id="916" w:name="_Toc28925"/>
      <w:bookmarkStart w:id="917" w:name="_Toc31937"/>
      <w:bookmarkStart w:id="918" w:name="_Toc23662"/>
      <w:bookmarkStart w:id="919" w:name="_Toc22956"/>
      <w:bookmarkStart w:id="920" w:name="_Toc5851"/>
      <w:bookmarkStart w:id="921" w:name="_Toc22344"/>
      <w:bookmarkStart w:id="922" w:name="_Toc29509"/>
      <w:bookmarkStart w:id="923" w:name="_Toc25369"/>
      <w:bookmarkStart w:id="924" w:name="_Toc7494"/>
      <w:r>
        <w:rPr>
          <w:rFonts w:hint="eastAsia"/>
        </w:rPr>
        <w:t>政策调整</w:t>
      </w:r>
      <w:r>
        <w:rPr>
          <w:rFonts w:hint="eastAsia" w:ascii="方正小标宋_GBK" w:hAnsi="宋体"/>
        </w:rPr>
        <w:t>的通知》的通知</w:t>
      </w:r>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p>
      <w:pPr>
        <w:pStyle w:val="8"/>
        <w:spacing w:line="600" w:lineRule="exact"/>
        <w:ind w:left="1060" w:firstLine="560"/>
        <w:rPr>
          <w:rFonts w:hAnsi="仿宋"/>
          <w:szCs w:val="32"/>
        </w:rPr>
      </w:pPr>
    </w:p>
    <w:p>
      <w:pPr>
        <w:ind w:firstLine="560"/>
      </w:pPr>
      <w:r>
        <w:rPr>
          <w:rFonts w:hint="eastAsia"/>
        </w:rPr>
        <w:t>各市、区住建局，苏州工业园区规建委，各有关单位：</w:t>
      </w:r>
    </w:p>
    <w:p>
      <w:pPr>
        <w:ind w:firstLine="560"/>
      </w:pPr>
      <w:r>
        <w:rPr>
          <w:rFonts w:hint="eastAsia"/>
        </w:rPr>
        <w:t>现将《省住房城乡建设厅关于建筑业增值税计价政策调整的通知》（苏建函价〔2018〕298号）转发给你们，请遵照执行。</w:t>
      </w:r>
    </w:p>
    <w:p>
      <w:pPr>
        <w:ind w:firstLine="560"/>
      </w:pPr>
      <w:r>
        <w:rPr>
          <w:rFonts w:hint="eastAsia"/>
        </w:rPr>
        <w:t>税金费率调整属于国家政策性调整，不应包含在建设工程施工合同风险范围以内。对于2018年5月1日以前尚未完成建筑业发票开票的建设工程，调整前后工作量的划分，按当地税务部门的规定执行。</w:t>
      </w:r>
    </w:p>
    <w:p>
      <w:pPr>
        <w:ind w:firstLine="560"/>
      </w:pPr>
      <w:r>
        <w:rPr>
          <w:rFonts w:hint="eastAsia"/>
        </w:rPr>
        <w:t>附件：省住房城乡建设厅《关于建筑业增值税计价政策调整的通知》（苏建函价〔2018〕298号）</w:t>
      </w:r>
    </w:p>
    <w:p>
      <w:pPr>
        <w:ind w:firstLine="560"/>
      </w:pPr>
    </w:p>
    <w:p>
      <w:pPr>
        <w:ind w:firstLine="4200" w:firstLineChars="1500"/>
      </w:pPr>
      <w:r>
        <w:rPr>
          <w:rFonts w:hint="eastAsia"/>
        </w:rPr>
        <w:t>苏州市住房和城乡建设局</w:t>
      </w:r>
    </w:p>
    <w:p>
      <w:pPr>
        <w:ind w:firstLine="560"/>
      </w:pPr>
      <w:r>
        <w:rPr>
          <w:rFonts w:hint="eastAsia"/>
        </w:rPr>
        <w:t xml:space="preserve">                              2018年4月25日</w:t>
      </w:r>
    </w:p>
    <w:p>
      <w:pPr>
        <w:spacing w:line="240" w:lineRule="auto"/>
        <w:ind w:firstLine="0" w:firstLineChars="0"/>
        <w:jc w:val="left"/>
        <w:rPr>
          <w:rFonts w:hint="eastAsia" w:ascii="仿宋_GB2312"/>
        </w:rPr>
      </w:pPr>
    </w:p>
    <w:p>
      <w:pPr>
        <w:spacing w:line="240" w:lineRule="auto"/>
        <w:ind w:firstLine="0" w:firstLineChars="0"/>
        <w:jc w:val="left"/>
        <w:rPr>
          <w:rFonts w:ascii="宋体" w:hAnsi="宋体" w:eastAsia="宋体"/>
          <w:color w:val="333333"/>
          <w:sz w:val="24"/>
          <w:szCs w:val="24"/>
        </w:rPr>
      </w:pPr>
      <w:r>
        <w:rPr>
          <w:rFonts w:hint="eastAsia" w:ascii="仿宋_GB2312"/>
        </w:rPr>
        <w:t>附件：</w:t>
      </w:r>
    </w:p>
    <w:p>
      <w:pPr>
        <w:widowControl/>
        <w:spacing w:line="240" w:lineRule="auto"/>
        <w:ind w:firstLine="560"/>
        <w:jc w:val="left"/>
        <w:rPr>
          <w:rFonts w:ascii="仿宋_GB2312"/>
        </w:rPr>
      </w:pPr>
      <w:r>
        <w:rPr>
          <w:rFonts w:ascii="仿宋_GB2312"/>
        </w:rPr>
        <w:drawing>
          <wp:inline distT="0" distB="0" distL="0" distR="0">
            <wp:extent cx="5266055" cy="7548880"/>
            <wp:effectExtent l="0" t="0" r="10795" b="139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63">
                      <a:extLst>
                        <a:ext uri="{28A0092B-C50C-407E-A947-70E740481C1C}">
                          <a14:useLocalDpi xmlns:a14="http://schemas.microsoft.com/office/drawing/2010/main" val="0"/>
                        </a:ext>
                      </a:extLst>
                    </a:blip>
                    <a:srcRect l="6005" t="7650" r="8041" b="5260"/>
                    <a:stretch>
                      <a:fillRect/>
                    </a:stretch>
                  </pic:blipFill>
                  <pic:spPr>
                    <a:xfrm>
                      <a:off x="0" y="0"/>
                      <a:ext cx="5266055" cy="7548880"/>
                    </a:xfrm>
                    <a:prstGeom prst="rect">
                      <a:avLst/>
                    </a:prstGeom>
                    <a:noFill/>
                  </pic:spPr>
                </pic:pic>
              </a:graphicData>
            </a:graphic>
          </wp:inline>
        </w:drawing>
      </w: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r>
        <w:rPr>
          <w:rFonts w:ascii="仿宋_GB2312"/>
        </w:rPr>
        <w:drawing>
          <wp:inline distT="0" distB="0" distL="0" distR="0">
            <wp:extent cx="5395595" cy="7860030"/>
            <wp:effectExtent l="0" t="0" r="14605"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64">
                      <a:extLst>
                        <a:ext uri="{28A0092B-C50C-407E-A947-70E740481C1C}">
                          <a14:useLocalDpi xmlns:a14="http://schemas.microsoft.com/office/drawing/2010/main" val="0"/>
                        </a:ext>
                      </a:extLst>
                    </a:blip>
                    <a:srcRect l="9376" t="9321" r="8935" b="6571"/>
                    <a:stretch>
                      <a:fillRect/>
                    </a:stretch>
                  </pic:blipFill>
                  <pic:spPr>
                    <a:xfrm>
                      <a:off x="0" y="0"/>
                      <a:ext cx="5395595" cy="7860030"/>
                    </a:xfrm>
                    <a:prstGeom prst="rect">
                      <a:avLst/>
                    </a:prstGeom>
                    <a:noFill/>
                  </pic:spPr>
                </pic:pic>
              </a:graphicData>
            </a:graphic>
          </wp:inline>
        </w:drawing>
      </w:r>
    </w:p>
    <w:p>
      <w:pPr>
        <w:widowControl/>
        <w:spacing w:line="240" w:lineRule="auto"/>
        <w:ind w:firstLine="560"/>
        <w:jc w:val="left"/>
        <w:rPr>
          <w:rFonts w:ascii="仿宋_GB2312"/>
        </w:rPr>
      </w:pPr>
      <w:r>
        <w:rPr>
          <w:rFonts w:ascii="仿宋_GB2312"/>
        </w:rPr>
        <w:br w:type="page"/>
      </w:r>
    </w:p>
    <w:p>
      <w:pPr>
        <w:spacing w:line="540" w:lineRule="exact"/>
        <w:ind w:firstLine="560"/>
        <w:rPr>
          <w:rFonts w:ascii="仿宋_GB2312"/>
        </w:rPr>
      </w:pPr>
      <w:r>
        <w:drawing>
          <wp:anchor distT="0" distB="0" distL="114300" distR="114300" simplePos="0" relativeHeight="251669504" behindDoc="1" locked="0" layoutInCell="1" allowOverlap="1">
            <wp:simplePos x="0" y="0"/>
            <wp:positionH relativeFrom="column">
              <wp:posOffset>-12065</wp:posOffset>
            </wp:positionH>
            <wp:positionV relativeFrom="paragraph">
              <wp:posOffset>293370</wp:posOffset>
            </wp:positionV>
            <wp:extent cx="6113780" cy="2306955"/>
            <wp:effectExtent l="0" t="0" r="0" b="17145"/>
            <wp:wrapNone/>
            <wp:docPr id="671876" name="图片 671876"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76" name="图片 671876"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10076" t="44829" r="9085"/>
                    <a:stretch>
                      <a:fillRect/>
                    </a:stretch>
                  </pic:blipFill>
                  <pic:spPr>
                    <a:xfrm>
                      <a:off x="0" y="0"/>
                      <a:ext cx="6113780" cy="2306955"/>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925" w:name="_Toc25047"/>
      <w:bookmarkStart w:id="926" w:name="_Toc24578"/>
      <w:bookmarkStart w:id="927" w:name="_Toc18603"/>
      <w:bookmarkStart w:id="928" w:name="_Toc15287"/>
      <w:bookmarkStart w:id="929" w:name="_Toc16045"/>
      <w:bookmarkStart w:id="930" w:name="_Toc11060"/>
      <w:bookmarkStart w:id="931" w:name="_Toc22020"/>
      <w:r>
        <w:rPr>
          <w:rFonts w:hint="eastAsia"/>
        </w:rPr>
        <w:t>苏住建建〔2018〕38号</w:t>
      </w:r>
      <w:bookmarkEnd w:id="925"/>
      <w:bookmarkEnd w:id="926"/>
      <w:bookmarkEnd w:id="927"/>
      <w:bookmarkEnd w:id="928"/>
      <w:bookmarkEnd w:id="929"/>
      <w:bookmarkEnd w:id="930"/>
      <w:bookmarkEnd w:id="931"/>
    </w:p>
    <w:p>
      <w:pPr>
        <w:pStyle w:val="20"/>
        <w:spacing w:before="0" w:beforeAutospacing="0" w:after="0" w:afterAutospacing="0" w:line="600" w:lineRule="exact"/>
        <w:ind w:left="856" w:firstLine="478"/>
        <w:rPr>
          <w:rFonts w:ascii="Times New Roman" w:hAnsi="Times New Roman" w:eastAsia="楷体_GB2312" w:cs="Times New Roman"/>
          <w:w w:val="80"/>
          <w:kern w:val="2"/>
          <w:sz w:val="30"/>
          <w:szCs w:val="20"/>
        </w:rPr>
      </w:pPr>
    </w:p>
    <w:p>
      <w:pPr>
        <w:pStyle w:val="20"/>
        <w:spacing w:before="0" w:beforeAutospacing="0" w:after="0" w:afterAutospacing="0" w:line="600" w:lineRule="exact"/>
        <w:ind w:left="856" w:firstLine="478"/>
        <w:rPr>
          <w:rFonts w:ascii="Times New Roman" w:hAnsi="Times New Roman" w:eastAsia="楷体_GB2312" w:cs="Times New Roman"/>
          <w:w w:val="80"/>
          <w:kern w:val="2"/>
          <w:sz w:val="30"/>
          <w:szCs w:val="20"/>
        </w:rPr>
      </w:pPr>
    </w:p>
    <w:p>
      <w:pPr>
        <w:spacing w:line="600" w:lineRule="exact"/>
        <w:ind w:firstLine="880"/>
        <w:jc w:val="center"/>
        <w:rPr>
          <w:rFonts w:ascii="方正小标宋_GBK" w:hAnsi="宋体" w:eastAsia="方正小标宋_GBK"/>
          <w:sz w:val="44"/>
          <w:szCs w:val="44"/>
        </w:rPr>
      </w:pPr>
    </w:p>
    <w:p>
      <w:pPr>
        <w:pStyle w:val="3"/>
      </w:pPr>
      <w:bookmarkStart w:id="932" w:name="_Toc27661"/>
      <w:bookmarkStart w:id="933" w:name="_Toc24620"/>
      <w:bookmarkStart w:id="934" w:name="_Toc8953"/>
      <w:bookmarkStart w:id="935" w:name="_Toc14139"/>
      <w:bookmarkStart w:id="936" w:name="_Toc7328"/>
      <w:bookmarkStart w:id="937" w:name="_Toc2612"/>
      <w:bookmarkStart w:id="938" w:name="_Toc7379"/>
      <w:bookmarkStart w:id="939" w:name="_Toc4810"/>
      <w:bookmarkStart w:id="940" w:name="_Toc32733"/>
      <w:bookmarkStart w:id="941" w:name="_Toc15588"/>
      <w:bookmarkStart w:id="942" w:name="_Toc29602"/>
      <w:bookmarkStart w:id="943" w:name="_Toc3719"/>
      <w:bookmarkStart w:id="944" w:name="_Toc4257"/>
      <w:bookmarkStart w:id="945" w:name="_Toc19938"/>
      <w:r>
        <w:rPr>
          <w:rFonts w:hint="eastAsia"/>
        </w:rPr>
        <w:t>市住房城乡建设局关于贯彻落实《省住房城乡建设厅关于调整建设工程按质论价等费用</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p>
    <w:p>
      <w:pPr>
        <w:pStyle w:val="3"/>
      </w:pPr>
      <w:bookmarkStart w:id="946" w:name="_Toc26036"/>
      <w:bookmarkStart w:id="947" w:name="_Toc1095"/>
      <w:bookmarkStart w:id="948" w:name="_Toc4018"/>
      <w:bookmarkStart w:id="949" w:name="_Toc15099"/>
      <w:bookmarkStart w:id="950" w:name="_Toc13671"/>
      <w:bookmarkStart w:id="951" w:name="_Toc4576"/>
      <w:bookmarkStart w:id="952" w:name="_Toc7144"/>
      <w:bookmarkStart w:id="953" w:name="_Toc23977"/>
      <w:bookmarkStart w:id="954" w:name="_Toc7416"/>
      <w:bookmarkStart w:id="955" w:name="_Toc26871"/>
      <w:bookmarkStart w:id="956" w:name="_Toc7837"/>
      <w:bookmarkStart w:id="957" w:name="_Toc28924"/>
      <w:bookmarkStart w:id="958" w:name="_Toc27595"/>
      <w:bookmarkStart w:id="959" w:name="_Toc6934"/>
      <w:r>
        <w:rPr>
          <w:rFonts w:hint="eastAsia"/>
        </w:rPr>
        <w:t>计取方法的公告》的通知</w:t>
      </w:r>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p>
      <w:pPr>
        <w:pStyle w:val="8"/>
        <w:spacing w:line="600" w:lineRule="exact"/>
        <w:ind w:firstLine="560"/>
        <w:rPr>
          <w:rFonts w:hAnsi="仿宋"/>
          <w:szCs w:val="32"/>
        </w:rPr>
      </w:pPr>
    </w:p>
    <w:p>
      <w:pPr>
        <w:ind w:firstLine="560"/>
      </w:pPr>
      <w:r>
        <w:rPr>
          <w:rFonts w:hint="eastAsia"/>
        </w:rPr>
        <w:t>各市、区住建局，苏州工业园区规建委，各有关单位：</w:t>
      </w:r>
    </w:p>
    <w:p>
      <w:pPr>
        <w:ind w:firstLine="560"/>
      </w:pPr>
      <w:r>
        <w:rPr>
          <w:rFonts w:hint="eastAsia"/>
        </w:rPr>
        <w:t>为认真贯彻落实《省住房城乡建设厅关于调整建设工程按质论价等费用计取方法的公告》（省厅公告[2018]第24号），现结合我市实际情况提出如下要求，请一并贯彻落实。</w:t>
      </w:r>
    </w:p>
    <w:p>
      <w:pPr>
        <w:ind w:firstLine="560"/>
      </w:pPr>
      <w:r>
        <w:rPr>
          <w:rFonts w:hint="eastAsia"/>
        </w:rPr>
        <w:t>一、工程按质论价费用。对于县市（区）开展优质工程创建活动的，县级优质工程按质论价费按对应市优质工程费率乘以0.7系数执行。</w:t>
      </w:r>
    </w:p>
    <w:p>
      <w:pPr>
        <w:ind w:firstLine="560"/>
      </w:pPr>
      <w:r>
        <w:rPr>
          <w:rFonts w:hint="eastAsia"/>
        </w:rPr>
        <w:t>二、安全文明施工费用。对于县市（区）开展建筑安全文明施工标准化示范工地创建活动的，县级标化工地增加费按对应省级费率乘以0.5系数执行。县级不区分星级时，按一星级省级标化增加费费率乘以0.5系数执行。</w:t>
      </w:r>
    </w:p>
    <w:p>
      <w:pPr>
        <w:ind w:firstLine="560"/>
      </w:pPr>
      <w:r>
        <w:rPr>
          <w:rFonts w:hint="eastAsia"/>
        </w:rPr>
        <w:t>三、工程排污费调整为环境保护税后，环境保护税费率暂按0.1％计列，计取方法同原工程排污费，竣工结算时按税务部门实际收取的环境保护税进行结算。</w:t>
      </w:r>
    </w:p>
    <w:p>
      <w:pPr>
        <w:ind w:firstLine="560"/>
      </w:pPr>
    </w:p>
    <w:p>
      <w:pPr>
        <w:ind w:firstLine="560"/>
      </w:pPr>
      <w:r>
        <w:rPr>
          <w:rFonts w:hint="eastAsia"/>
        </w:rPr>
        <w:t xml:space="preserve">附件：《省住房城乡建设厅关于调整建设工程按质论价等费用计取方法的公告》（省厅公告[2018]第24号） </w:t>
      </w:r>
    </w:p>
    <w:p>
      <w:pPr>
        <w:ind w:firstLine="560"/>
      </w:pPr>
    </w:p>
    <w:p>
      <w:pPr>
        <w:ind w:firstLine="560"/>
      </w:pPr>
    </w:p>
    <w:p>
      <w:pPr>
        <w:ind w:firstLine="560"/>
      </w:pPr>
    </w:p>
    <w:p>
      <w:pPr>
        <w:ind w:firstLine="4200" w:firstLineChars="1500"/>
      </w:pPr>
      <w:r>
        <w:rPr>
          <w:rFonts w:hint="eastAsia"/>
        </w:rPr>
        <w:t>苏州市住房和城乡建设局</w:t>
      </w:r>
    </w:p>
    <w:p>
      <w:pPr>
        <w:ind w:firstLine="560"/>
      </w:pPr>
      <w:r>
        <w:rPr>
          <w:rFonts w:hint="eastAsia"/>
        </w:rPr>
        <w:t xml:space="preserve">                                2018年12月5日</w:t>
      </w:r>
    </w:p>
    <w:p>
      <w:pPr>
        <w:widowControl/>
        <w:ind w:firstLine="520"/>
        <w:jc w:val="left"/>
        <w:rPr>
          <w:rFonts w:ascii="仿宋_GB2312"/>
        </w:rPr>
      </w:pPr>
      <w:r>
        <w:rPr>
          <w:rFonts w:hint="eastAsia" w:ascii="仿宋_GB2312"/>
          <w:spacing w:val="-10"/>
          <w:szCs w:val="32"/>
        </w:rPr>
        <w:t xml:space="preserve">  </w:t>
      </w: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r>
        <w:rPr>
          <w:rFonts w:hint="eastAsia" w:ascii="仿宋_GB2312"/>
        </w:rPr>
        <w:t>附件：</w:t>
      </w:r>
      <w:r>
        <w:drawing>
          <wp:inline distT="0" distB="0" distL="0" distR="0">
            <wp:extent cx="5315585" cy="7935595"/>
            <wp:effectExtent l="0" t="0" r="18415" b="8255"/>
            <wp:docPr id="671877" name="图片 67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77" name="图片 671877"/>
                    <pic:cNvPicPr>
                      <a:picLocks noChangeAspect="1"/>
                    </pic:cNvPicPr>
                  </pic:nvPicPr>
                  <pic:blipFill>
                    <a:blip r:embed="rId65"/>
                    <a:srcRect l="6670" t="6739" r="10130" b="5444"/>
                    <a:stretch>
                      <a:fillRect/>
                    </a:stretch>
                  </pic:blipFill>
                  <pic:spPr>
                    <a:xfrm>
                      <a:off x="0" y="0"/>
                      <a:ext cx="5315585" cy="7935595"/>
                    </a:xfrm>
                    <a:prstGeom prst="rect">
                      <a:avLst/>
                    </a:prstGeom>
                  </pic:spPr>
                </pic:pic>
              </a:graphicData>
            </a:graphic>
          </wp:inline>
        </w:drawing>
      </w:r>
      <w:r>
        <w:drawing>
          <wp:inline distT="0" distB="0" distL="0" distR="0">
            <wp:extent cx="5483225" cy="7715885"/>
            <wp:effectExtent l="0" t="0" r="3175" b="18415"/>
            <wp:docPr id="671878" name="图片 67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78" name="图片 671878"/>
                    <pic:cNvPicPr>
                      <a:picLocks noChangeAspect="1"/>
                    </pic:cNvPicPr>
                  </pic:nvPicPr>
                  <pic:blipFill>
                    <a:blip r:embed="rId66"/>
                    <a:srcRect l="8129" t="10056" r="7643" b="6147"/>
                    <a:stretch>
                      <a:fillRect/>
                    </a:stretch>
                  </pic:blipFill>
                  <pic:spPr>
                    <a:xfrm>
                      <a:off x="0" y="0"/>
                      <a:ext cx="5483225" cy="7715885"/>
                    </a:xfrm>
                    <a:prstGeom prst="rect">
                      <a:avLst/>
                    </a:prstGeom>
                  </pic:spPr>
                </pic:pic>
              </a:graphicData>
            </a:graphic>
          </wp:inline>
        </w:drawing>
      </w:r>
      <w:r>
        <w:drawing>
          <wp:inline distT="0" distB="0" distL="0" distR="0">
            <wp:extent cx="5469890" cy="7943215"/>
            <wp:effectExtent l="0" t="0" r="16510" b="635"/>
            <wp:docPr id="671879" name="图片 67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79" name="图片 671879"/>
                    <pic:cNvPicPr>
                      <a:picLocks noChangeAspect="1"/>
                    </pic:cNvPicPr>
                  </pic:nvPicPr>
                  <pic:blipFill>
                    <a:blip r:embed="rId67"/>
                    <a:srcRect l="9644" t="10128" r="8852" b="6187"/>
                    <a:stretch>
                      <a:fillRect/>
                    </a:stretch>
                  </pic:blipFill>
                  <pic:spPr>
                    <a:xfrm>
                      <a:off x="0" y="0"/>
                      <a:ext cx="5469890" cy="7943215"/>
                    </a:xfrm>
                    <a:prstGeom prst="rect">
                      <a:avLst/>
                    </a:prstGeom>
                  </pic:spPr>
                </pic:pic>
              </a:graphicData>
            </a:graphic>
          </wp:inline>
        </w:drawing>
      </w:r>
      <w:r>
        <w:drawing>
          <wp:inline distT="0" distB="0" distL="0" distR="0">
            <wp:extent cx="5358130" cy="7841615"/>
            <wp:effectExtent l="0" t="0" r="13970" b="6985"/>
            <wp:docPr id="671880" name="图片 67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0" name="图片 671880"/>
                    <pic:cNvPicPr>
                      <a:picLocks noChangeAspect="1"/>
                    </pic:cNvPicPr>
                  </pic:nvPicPr>
                  <pic:blipFill>
                    <a:blip r:embed="rId68"/>
                    <a:srcRect l="9429" t="9792" r="9406" b="6227"/>
                    <a:stretch>
                      <a:fillRect/>
                    </a:stretch>
                  </pic:blipFill>
                  <pic:spPr>
                    <a:xfrm>
                      <a:off x="0" y="0"/>
                      <a:ext cx="5358130" cy="7841615"/>
                    </a:xfrm>
                    <a:prstGeom prst="rect">
                      <a:avLst/>
                    </a:prstGeom>
                  </pic:spPr>
                </pic:pic>
              </a:graphicData>
            </a:graphic>
          </wp:inline>
        </w:drawing>
      </w:r>
      <w:r>
        <w:drawing>
          <wp:inline distT="0" distB="0" distL="0" distR="0">
            <wp:extent cx="5250815" cy="7586345"/>
            <wp:effectExtent l="0" t="0" r="6985" b="14605"/>
            <wp:docPr id="671881" name="图片 67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1" name="图片 671881"/>
                    <pic:cNvPicPr>
                      <a:picLocks noChangeAspect="1"/>
                    </pic:cNvPicPr>
                  </pic:nvPicPr>
                  <pic:blipFill>
                    <a:blip r:embed="rId69"/>
                    <a:srcRect l="13058" t="13965" r="9734" b="7170"/>
                    <a:stretch>
                      <a:fillRect/>
                    </a:stretch>
                  </pic:blipFill>
                  <pic:spPr>
                    <a:xfrm>
                      <a:off x="0" y="0"/>
                      <a:ext cx="5250815" cy="7586345"/>
                    </a:xfrm>
                    <a:prstGeom prst="rect">
                      <a:avLst/>
                    </a:prstGeom>
                  </pic:spPr>
                </pic:pic>
              </a:graphicData>
            </a:graphic>
          </wp:inline>
        </w:drawing>
      </w:r>
      <w:r>
        <w:drawing>
          <wp:inline distT="0" distB="0" distL="0" distR="0">
            <wp:extent cx="5517515" cy="7407910"/>
            <wp:effectExtent l="0" t="0" r="6985" b="2540"/>
            <wp:docPr id="671885" name="图片 67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5" name="图片 671885"/>
                    <pic:cNvPicPr>
                      <a:picLocks noChangeAspect="1"/>
                    </pic:cNvPicPr>
                  </pic:nvPicPr>
                  <pic:blipFill>
                    <a:blip r:embed="rId70"/>
                    <a:srcRect l="4975" t="9768" r="5936" b="5667"/>
                    <a:stretch>
                      <a:fillRect/>
                    </a:stretch>
                  </pic:blipFill>
                  <pic:spPr>
                    <a:xfrm>
                      <a:off x="0" y="0"/>
                      <a:ext cx="5517515" cy="7407910"/>
                    </a:xfrm>
                    <a:prstGeom prst="rect">
                      <a:avLst/>
                    </a:prstGeom>
                  </pic:spPr>
                </pic:pic>
              </a:graphicData>
            </a:graphic>
          </wp:inline>
        </w:drawing>
      </w:r>
      <w:r>
        <w:drawing>
          <wp:inline distT="0" distB="0" distL="0" distR="0">
            <wp:extent cx="5419090" cy="7649210"/>
            <wp:effectExtent l="0" t="0" r="10160" b="8890"/>
            <wp:docPr id="671886" name="图片 67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6" name="图片 671886"/>
                    <pic:cNvPicPr>
                      <a:picLocks noChangeAspect="1"/>
                    </pic:cNvPicPr>
                  </pic:nvPicPr>
                  <pic:blipFill>
                    <a:blip r:embed="rId71"/>
                    <a:srcRect l="7756" t="10408" r="7620" b="5140"/>
                    <a:stretch>
                      <a:fillRect/>
                    </a:stretch>
                  </pic:blipFill>
                  <pic:spPr>
                    <a:xfrm>
                      <a:off x="0" y="0"/>
                      <a:ext cx="5419090" cy="7649210"/>
                    </a:xfrm>
                    <a:prstGeom prst="rect">
                      <a:avLst/>
                    </a:prstGeom>
                  </pic:spPr>
                </pic:pic>
              </a:graphicData>
            </a:graphic>
          </wp:inline>
        </w:drawing>
      </w:r>
      <w:r>
        <w:drawing>
          <wp:inline distT="0" distB="0" distL="0" distR="0">
            <wp:extent cx="5534660" cy="7637145"/>
            <wp:effectExtent l="0" t="0" r="8890" b="1905"/>
            <wp:docPr id="671887" name="图片 67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7" name="图片 671887"/>
                    <pic:cNvPicPr>
                      <a:picLocks noChangeAspect="1"/>
                    </pic:cNvPicPr>
                  </pic:nvPicPr>
                  <pic:blipFill>
                    <a:blip r:embed="rId72"/>
                    <a:srcRect l="5822" t="9960" r="7925" b="5891"/>
                    <a:stretch>
                      <a:fillRect/>
                    </a:stretch>
                  </pic:blipFill>
                  <pic:spPr>
                    <a:xfrm>
                      <a:off x="0" y="0"/>
                      <a:ext cx="5534660" cy="7637145"/>
                    </a:xfrm>
                    <a:prstGeom prst="rect">
                      <a:avLst/>
                    </a:prstGeom>
                  </pic:spPr>
                </pic:pic>
              </a:graphicData>
            </a:graphic>
          </wp:inline>
        </w:drawing>
      </w:r>
    </w:p>
    <w:p>
      <w:pPr>
        <w:widowControl/>
        <w:spacing w:line="240" w:lineRule="auto"/>
        <w:ind w:firstLine="560"/>
        <w:jc w:val="left"/>
        <w:rPr>
          <w:rFonts w:ascii="仿宋_GB2312"/>
        </w:rPr>
      </w:pPr>
      <w:r>
        <w:rPr>
          <w:rFonts w:ascii="仿宋_GB2312"/>
        </w:rPr>
        <w:br w:type="page"/>
      </w:r>
    </w:p>
    <w:p>
      <w:pPr>
        <w:spacing w:line="540" w:lineRule="exact"/>
        <w:ind w:right="48" w:rightChars="17" w:firstLine="560"/>
        <w:rPr>
          <w:rFonts w:ascii="仿宋_GB2312"/>
        </w:rPr>
      </w:pPr>
      <w:r>
        <w:drawing>
          <wp:anchor distT="0" distB="0" distL="114300" distR="114300" simplePos="0" relativeHeight="251670528" behindDoc="1" locked="0" layoutInCell="1" allowOverlap="1">
            <wp:simplePos x="0" y="0"/>
            <wp:positionH relativeFrom="column">
              <wp:posOffset>-160655</wp:posOffset>
            </wp:positionH>
            <wp:positionV relativeFrom="paragraph">
              <wp:posOffset>330200</wp:posOffset>
            </wp:positionV>
            <wp:extent cx="6214745" cy="2284730"/>
            <wp:effectExtent l="0" t="0" r="0" b="1270"/>
            <wp:wrapNone/>
            <wp:docPr id="674576" name="图片 674576"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6" name="图片 674576"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8673" t="45361" r="9152"/>
                    <a:stretch>
                      <a:fillRect/>
                    </a:stretch>
                  </pic:blipFill>
                  <pic:spPr>
                    <a:xfrm>
                      <a:off x="0" y="0"/>
                      <a:ext cx="6214745" cy="2284730"/>
                    </a:xfrm>
                    <a:prstGeom prst="rect">
                      <a:avLst/>
                    </a:prstGeom>
                    <a:noFill/>
                  </pic:spPr>
                </pic:pic>
              </a:graphicData>
            </a:graphic>
          </wp:anchor>
        </w:drawing>
      </w:r>
    </w:p>
    <w:p>
      <w:pPr>
        <w:spacing w:line="540" w:lineRule="exact"/>
        <w:ind w:right="48" w:rightChars="17" w:firstLine="560"/>
        <w:rPr>
          <w:rFonts w:ascii="仿宋_GB2312"/>
        </w:rPr>
      </w:pPr>
    </w:p>
    <w:p>
      <w:pPr>
        <w:spacing w:line="540" w:lineRule="exact"/>
        <w:ind w:right="48" w:rightChars="17" w:firstLine="560"/>
        <w:rPr>
          <w:rFonts w:ascii="仿宋_GB2312"/>
        </w:rPr>
      </w:pPr>
    </w:p>
    <w:p>
      <w:pPr>
        <w:spacing w:line="540" w:lineRule="exact"/>
        <w:ind w:right="48" w:rightChars="17" w:firstLine="560"/>
        <w:rPr>
          <w:rFonts w:ascii="仿宋_GB2312"/>
        </w:rPr>
      </w:pPr>
    </w:p>
    <w:p>
      <w:pPr>
        <w:spacing w:line="540" w:lineRule="exact"/>
        <w:ind w:right="48" w:rightChars="17" w:firstLine="560"/>
        <w:rPr>
          <w:rFonts w:ascii="仿宋_GB2312"/>
        </w:rPr>
      </w:pPr>
    </w:p>
    <w:p>
      <w:pPr>
        <w:spacing w:line="540" w:lineRule="exact"/>
        <w:ind w:right="48" w:rightChars="17" w:firstLine="560"/>
        <w:rPr>
          <w:rFonts w:ascii="仿宋_GB2312"/>
        </w:rPr>
      </w:pPr>
    </w:p>
    <w:p>
      <w:pPr>
        <w:pStyle w:val="4"/>
      </w:pPr>
      <w:bookmarkStart w:id="960" w:name="_Toc25895"/>
      <w:bookmarkStart w:id="961" w:name="_Toc30583"/>
      <w:bookmarkStart w:id="962" w:name="_Toc18349"/>
      <w:bookmarkStart w:id="963" w:name="_Toc10513"/>
      <w:bookmarkStart w:id="964" w:name="_Toc229"/>
      <w:bookmarkStart w:id="965" w:name="_Toc1331"/>
      <w:bookmarkStart w:id="966" w:name="_Toc1816"/>
      <w:bookmarkStart w:id="967" w:name="_Toc27495"/>
      <w:bookmarkStart w:id="968" w:name="_Toc6579"/>
      <w:bookmarkStart w:id="969" w:name="_Toc19400"/>
      <w:bookmarkStart w:id="970" w:name="_Toc12287"/>
      <w:r>
        <w:rPr>
          <w:rFonts w:hint="eastAsia"/>
        </w:rPr>
        <w:t>苏住建建〔2019〕17号</w:t>
      </w:r>
      <w:bookmarkEnd w:id="960"/>
      <w:bookmarkEnd w:id="961"/>
      <w:bookmarkEnd w:id="962"/>
      <w:bookmarkEnd w:id="963"/>
      <w:bookmarkEnd w:id="964"/>
      <w:bookmarkEnd w:id="965"/>
      <w:bookmarkEnd w:id="966"/>
      <w:bookmarkEnd w:id="967"/>
      <w:bookmarkEnd w:id="968"/>
      <w:bookmarkEnd w:id="969"/>
      <w:bookmarkEnd w:id="970"/>
    </w:p>
    <w:p>
      <w:pPr>
        <w:spacing w:line="480" w:lineRule="exact"/>
        <w:ind w:right="48" w:rightChars="17" w:firstLine="478"/>
        <w:rPr>
          <w:rFonts w:eastAsia="楷体_GB2312"/>
          <w:w w:val="80"/>
          <w:sz w:val="30"/>
        </w:rPr>
      </w:pPr>
    </w:p>
    <w:p>
      <w:pPr>
        <w:spacing w:line="600" w:lineRule="exact"/>
        <w:ind w:right="48" w:rightChars="17" w:firstLine="883"/>
        <w:jc w:val="left"/>
        <w:rPr>
          <w:rFonts w:ascii="宋体" w:hAnsi="宋体" w:eastAsia="宋体"/>
          <w:b/>
          <w:sz w:val="44"/>
          <w:szCs w:val="44"/>
        </w:rPr>
      </w:pPr>
    </w:p>
    <w:p>
      <w:pPr>
        <w:pStyle w:val="3"/>
      </w:pPr>
      <w:bookmarkStart w:id="971" w:name="_Toc29612"/>
      <w:bookmarkStart w:id="972" w:name="_Toc27289"/>
      <w:bookmarkStart w:id="973" w:name="_Toc15918"/>
      <w:bookmarkStart w:id="974" w:name="_Toc15184"/>
      <w:bookmarkStart w:id="975" w:name="_Toc16705"/>
      <w:bookmarkStart w:id="976" w:name="_Toc5017"/>
      <w:bookmarkStart w:id="977" w:name="_Toc8825"/>
      <w:bookmarkStart w:id="978" w:name="_Toc27395"/>
      <w:bookmarkStart w:id="979" w:name="_Toc25272"/>
      <w:bookmarkStart w:id="980" w:name="_Toc17018"/>
      <w:bookmarkStart w:id="981" w:name="_Toc20377"/>
      <w:bookmarkStart w:id="982" w:name="_Toc27470"/>
      <w:bookmarkStart w:id="983" w:name="_Toc14599"/>
      <w:bookmarkStart w:id="984" w:name="_Toc564"/>
      <w:bookmarkStart w:id="985" w:name="OLE_LINK18"/>
      <w:bookmarkStart w:id="986" w:name="OLE_LINK8"/>
      <w:bookmarkStart w:id="987" w:name="OLE_LINK15"/>
      <w:bookmarkStart w:id="988" w:name="OLE_LINK5"/>
      <w:bookmarkStart w:id="989" w:name="OLE_LINK1"/>
      <w:bookmarkStart w:id="990" w:name="OLE_LINK10"/>
      <w:bookmarkStart w:id="991" w:name="OLE_LINK17"/>
      <w:bookmarkStart w:id="992" w:name="OLE_LINK6"/>
      <w:bookmarkStart w:id="993" w:name="OLE_LINK13"/>
      <w:bookmarkStart w:id="994" w:name="OLE_LINK4"/>
      <w:bookmarkStart w:id="995" w:name="OLE_LINK3"/>
      <w:bookmarkStart w:id="996" w:name="OLE_LINK16"/>
      <w:bookmarkStart w:id="997" w:name="OLE_LINK12"/>
      <w:bookmarkStart w:id="998" w:name="OLE_LINK14"/>
      <w:bookmarkStart w:id="999" w:name="OLE_LINK7"/>
      <w:bookmarkStart w:id="1000" w:name="OLE_LINK11"/>
      <w:bookmarkStart w:id="1001" w:name="OLE_LINK9"/>
      <w:bookmarkStart w:id="1002" w:name="OLE_LINK2"/>
      <w:r>
        <w:rPr>
          <w:rFonts w:hint="eastAsia" w:ascii="方正小标宋_GBK" w:cs="黑体"/>
          <w:color w:val="000000"/>
          <w:shd w:val="clear" w:color="auto" w:fill="FFFFFF"/>
        </w:rPr>
        <w:t>市住房城乡建设局关于转</w:t>
      </w:r>
      <w:r>
        <w:rPr>
          <w:rFonts w:hint="eastAsia"/>
        </w:rPr>
        <w:t>发《省住房</w:t>
      </w:r>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pPr>
        <w:pStyle w:val="3"/>
      </w:pPr>
      <w:bookmarkStart w:id="1003" w:name="_Toc7384"/>
      <w:bookmarkStart w:id="1004" w:name="_Toc1452"/>
      <w:bookmarkStart w:id="1005" w:name="_Toc26088"/>
      <w:bookmarkStart w:id="1006" w:name="_Toc16691"/>
      <w:bookmarkStart w:id="1007" w:name="_Toc19623"/>
      <w:bookmarkStart w:id="1008" w:name="_Toc19496"/>
      <w:bookmarkStart w:id="1009" w:name="_Toc1363"/>
      <w:bookmarkStart w:id="1010" w:name="_Toc24205"/>
      <w:bookmarkStart w:id="1011" w:name="_Toc7622"/>
      <w:bookmarkStart w:id="1012" w:name="_Toc28987"/>
      <w:bookmarkStart w:id="1013" w:name="_Toc4122"/>
      <w:bookmarkStart w:id="1014" w:name="_Toc25446"/>
      <w:bookmarkStart w:id="1015" w:name="_Toc12105"/>
      <w:bookmarkStart w:id="1016" w:name="_Toc6991"/>
      <w:r>
        <w:rPr>
          <w:rFonts w:hint="eastAsia"/>
        </w:rPr>
        <w:t>城乡建设厅关于调整建设工程计价</w:t>
      </w:r>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p>
    <w:p>
      <w:pPr>
        <w:pStyle w:val="3"/>
        <w:rPr>
          <w:rFonts w:ascii="方正小标宋_GBK"/>
          <w:color w:val="000000"/>
        </w:rPr>
      </w:pPr>
      <w:bookmarkStart w:id="1017" w:name="_Toc27246"/>
      <w:bookmarkStart w:id="1018" w:name="_Toc9446"/>
      <w:bookmarkStart w:id="1019" w:name="_Toc19001"/>
      <w:bookmarkStart w:id="1020" w:name="_Toc28954"/>
      <w:bookmarkStart w:id="1021" w:name="_Toc349"/>
      <w:bookmarkStart w:id="1022" w:name="_Toc26991"/>
      <w:bookmarkStart w:id="1023" w:name="_Toc16033"/>
      <w:bookmarkStart w:id="1024" w:name="_Toc20185"/>
      <w:bookmarkStart w:id="1025" w:name="_Toc12751"/>
      <w:bookmarkStart w:id="1026" w:name="_Toc1369"/>
      <w:bookmarkStart w:id="1027" w:name="_Toc1582"/>
      <w:bookmarkStart w:id="1028" w:name="_Toc6610"/>
      <w:bookmarkStart w:id="1029" w:name="_Toc19159"/>
      <w:bookmarkStart w:id="1030" w:name="_Toc4760"/>
      <w:r>
        <w:rPr>
          <w:rFonts w:hint="eastAsia"/>
        </w:rPr>
        <w:t>增值税税率的通知》的通</w:t>
      </w:r>
      <w:r>
        <w:rPr>
          <w:rFonts w:hint="eastAsia" w:ascii="方正小标宋_GBK" w:cs="黑体"/>
          <w:color w:val="000000"/>
          <w:shd w:val="clear" w:color="auto" w:fill="FFFFFF"/>
        </w:rPr>
        <w:t>知</w:t>
      </w:r>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p>
    <w:p>
      <w:pPr>
        <w:pStyle w:val="20"/>
        <w:shd w:val="clear" w:color="auto" w:fill="FFFFFF"/>
        <w:spacing w:beforeAutospacing="0" w:afterAutospacing="0" w:line="500" w:lineRule="atLeast"/>
        <w:ind w:firstLine="640"/>
        <w:jc w:val="both"/>
        <w:rPr>
          <w:rFonts w:ascii="仿宋_GB2312" w:eastAsia="仿宋_GB2312"/>
          <w:color w:val="000000"/>
          <w:sz w:val="32"/>
          <w:shd w:val="clear" w:color="auto" w:fill="FFFFFF"/>
        </w:rPr>
      </w:pPr>
    </w:p>
    <w:p>
      <w:pPr>
        <w:ind w:firstLine="0" w:firstLineChars="0"/>
      </w:pPr>
      <w:r>
        <w:rPr>
          <w:rFonts w:hint="eastAsia"/>
        </w:rPr>
        <w:t>各市、区住建局，苏州工业园区规建委，各有关单位：</w:t>
      </w:r>
    </w:p>
    <w:p>
      <w:pPr>
        <w:ind w:firstLine="560"/>
      </w:pPr>
      <w:r>
        <w:rPr>
          <w:rFonts w:hint="eastAsia"/>
        </w:rPr>
        <w:t>现将《省住房城乡建设厅关于调整建设工程计价增值税税率的通知》（苏建函价〔2019〕178号）转发给你们，请认真贯彻执行。</w:t>
      </w:r>
    </w:p>
    <w:p>
      <w:pPr>
        <w:ind w:firstLine="560"/>
      </w:pPr>
    </w:p>
    <w:p>
      <w:pPr>
        <w:ind w:firstLine="560"/>
      </w:pPr>
    </w:p>
    <w:p>
      <w:pPr>
        <w:ind w:firstLine="4200" w:firstLineChars="1500"/>
      </w:pPr>
      <w:r>
        <w:rPr>
          <w:rFonts w:hint="eastAsia"/>
        </w:rPr>
        <w:t>苏州市住房和城乡建设局</w:t>
      </w:r>
    </w:p>
    <w:p>
      <w:pPr>
        <w:ind w:firstLine="4928" w:firstLineChars="1760"/>
      </w:pPr>
      <w:r>
        <w:rPr>
          <w:rFonts w:hint="eastAsia"/>
        </w:rPr>
        <w:t>2019年4月4日</w:t>
      </w:r>
    </w:p>
    <w:p>
      <w:pPr>
        <w:spacing w:line="460" w:lineRule="exact"/>
        <w:ind w:right="48" w:rightChars="17" w:firstLine="520"/>
        <w:jc w:val="right"/>
        <w:rPr>
          <w:rFonts w:ascii="方正仿宋_GBK" w:eastAsia="方正仿宋_GBK"/>
          <w:color w:val="000000"/>
          <w:szCs w:val="32"/>
          <w:shd w:val="clear" w:color="auto" w:fill="FFFFFF"/>
        </w:rPr>
      </w:pPr>
      <w:r>
        <w:rPr>
          <w:rFonts w:hint="eastAsia" w:ascii="仿宋_GB2312"/>
          <w:spacing w:val="-10"/>
          <w:szCs w:val="32"/>
        </w:rPr>
        <w:t xml:space="preserve">  </w:t>
      </w:r>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p>
    <w:p>
      <w:pPr>
        <w:widowControl/>
        <w:spacing w:line="240" w:lineRule="auto"/>
        <w:ind w:firstLine="0" w:firstLineChars="0"/>
        <w:jc w:val="left"/>
        <w:rPr>
          <w:rFonts w:ascii="仿宋_GB2312"/>
        </w:rPr>
      </w:pPr>
      <w:r>
        <w:rPr>
          <w:rFonts w:hint="eastAsia" w:ascii="仿宋_GB2312"/>
        </w:rPr>
        <w:t>附件：</w:t>
      </w:r>
      <w:r>
        <w:drawing>
          <wp:inline distT="0" distB="0" distL="0" distR="0">
            <wp:extent cx="5469255" cy="7701915"/>
            <wp:effectExtent l="0" t="0" r="17145" b="13335"/>
            <wp:docPr id="674577" name="图片 67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7" name="图片 674577"/>
                    <pic:cNvPicPr>
                      <a:picLocks noChangeAspect="1"/>
                    </pic:cNvPicPr>
                  </pic:nvPicPr>
                  <pic:blipFill>
                    <a:blip r:embed="rId73"/>
                    <a:srcRect l="6003" t="7099" r="5732" b="5012"/>
                    <a:stretch>
                      <a:fillRect/>
                    </a:stretch>
                  </pic:blipFill>
                  <pic:spPr>
                    <a:xfrm>
                      <a:off x="0" y="0"/>
                      <a:ext cx="5469255" cy="7701915"/>
                    </a:xfrm>
                    <a:prstGeom prst="rect">
                      <a:avLst/>
                    </a:prstGeom>
                  </pic:spPr>
                </pic:pic>
              </a:graphicData>
            </a:graphic>
          </wp:inline>
        </w:drawing>
      </w:r>
      <w:r>
        <w:drawing>
          <wp:inline distT="0" distB="0" distL="0" distR="0">
            <wp:extent cx="5589270" cy="7870825"/>
            <wp:effectExtent l="0" t="0" r="11430" b="15875"/>
            <wp:docPr id="674578" name="图片 67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8" name="图片 674578"/>
                    <pic:cNvPicPr>
                      <a:picLocks noChangeAspect="1"/>
                    </pic:cNvPicPr>
                  </pic:nvPicPr>
                  <pic:blipFill>
                    <a:blip r:embed="rId74"/>
                    <a:srcRect l="7518" t="7635" r="8016" b="8258"/>
                    <a:stretch>
                      <a:fillRect/>
                    </a:stretch>
                  </pic:blipFill>
                  <pic:spPr>
                    <a:xfrm>
                      <a:off x="0" y="0"/>
                      <a:ext cx="5589270" cy="7870825"/>
                    </a:xfrm>
                    <a:prstGeom prst="rect">
                      <a:avLst/>
                    </a:prstGeom>
                  </pic:spPr>
                </pic:pic>
              </a:graphicData>
            </a:graphic>
          </wp:inline>
        </w:drawing>
      </w:r>
    </w:p>
    <w:p>
      <w:pPr>
        <w:widowControl/>
        <w:ind w:firstLine="560"/>
        <w:jc w:val="left"/>
        <w:rPr>
          <w:rFonts w:ascii="仿宋_GB2312"/>
        </w:rPr>
      </w:pPr>
      <w:r>
        <w:rPr>
          <w:rFonts w:ascii="仿宋_GB2312"/>
        </w:rPr>
        <w:br w:type="page"/>
      </w:r>
    </w:p>
    <w:p>
      <w:pPr>
        <w:spacing w:line="540" w:lineRule="exact"/>
        <w:ind w:right="48" w:rightChars="17" w:firstLine="560"/>
        <w:rPr>
          <w:rFonts w:ascii="仿宋_GB2312"/>
        </w:rPr>
      </w:pPr>
      <w:r>
        <w:drawing>
          <wp:anchor distT="0" distB="0" distL="114300" distR="114300" simplePos="0" relativeHeight="251671552" behindDoc="1" locked="0" layoutInCell="1" allowOverlap="1">
            <wp:simplePos x="0" y="0"/>
            <wp:positionH relativeFrom="column">
              <wp:posOffset>-210185</wp:posOffset>
            </wp:positionH>
            <wp:positionV relativeFrom="paragraph">
              <wp:posOffset>108585</wp:posOffset>
            </wp:positionV>
            <wp:extent cx="6238875" cy="2115185"/>
            <wp:effectExtent l="0" t="0" r="0" b="18415"/>
            <wp:wrapNone/>
            <wp:docPr id="674606" name="图片 674606"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06" name="图片 674606"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10067" t="49415" r="7439"/>
                    <a:stretch>
                      <a:fillRect/>
                    </a:stretch>
                  </pic:blipFill>
                  <pic:spPr>
                    <a:xfrm>
                      <a:off x="0" y="0"/>
                      <a:ext cx="6238875" cy="2115185"/>
                    </a:xfrm>
                    <a:prstGeom prst="rect">
                      <a:avLst/>
                    </a:prstGeom>
                    <a:noFill/>
                  </pic:spPr>
                </pic:pic>
              </a:graphicData>
            </a:graphic>
          </wp:anchor>
        </w:drawing>
      </w:r>
    </w:p>
    <w:p>
      <w:pPr>
        <w:spacing w:line="540" w:lineRule="exact"/>
        <w:ind w:right="48" w:rightChars="17" w:firstLine="560"/>
        <w:rPr>
          <w:rFonts w:ascii="仿宋_GB2312"/>
        </w:rPr>
      </w:pPr>
    </w:p>
    <w:p>
      <w:pPr>
        <w:spacing w:line="540" w:lineRule="exact"/>
        <w:ind w:right="48" w:rightChars="17" w:firstLine="560"/>
        <w:rPr>
          <w:rFonts w:ascii="仿宋_GB2312"/>
        </w:rPr>
      </w:pPr>
    </w:p>
    <w:p>
      <w:pPr>
        <w:spacing w:line="540" w:lineRule="exact"/>
        <w:ind w:right="48" w:rightChars="17" w:firstLine="560"/>
        <w:rPr>
          <w:rFonts w:ascii="仿宋_GB2312"/>
        </w:rPr>
      </w:pPr>
    </w:p>
    <w:p>
      <w:pPr>
        <w:pStyle w:val="4"/>
      </w:pPr>
      <w:bookmarkStart w:id="1031" w:name="_Toc1912"/>
      <w:bookmarkStart w:id="1032" w:name="_Toc17508"/>
      <w:bookmarkStart w:id="1033" w:name="_Toc19753"/>
      <w:bookmarkStart w:id="1034" w:name="_Toc22961"/>
      <w:bookmarkStart w:id="1035" w:name="_Toc26821"/>
      <w:bookmarkStart w:id="1036" w:name="_Toc16343"/>
      <w:bookmarkStart w:id="1037" w:name="_Toc29256"/>
      <w:bookmarkStart w:id="1038" w:name="_Toc27357"/>
      <w:bookmarkStart w:id="1039" w:name="_Toc15307"/>
      <w:bookmarkStart w:id="1040" w:name="_Toc32558"/>
      <w:bookmarkStart w:id="1041" w:name="_Toc15658"/>
      <w:r>
        <w:rPr>
          <w:rFonts w:hint="eastAsia"/>
        </w:rPr>
        <w:t>苏住建建〔2019〕19号</w:t>
      </w:r>
      <w:bookmarkEnd w:id="1031"/>
      <w:bookmarkEnd w:id="1032"/>
      <w:bookmarkEnd w:id="1033"/>
      <w:bookmarkEnd w:id="1034"/>
      <w:bookmarkEnd w:id="1035"/>
      <w:bookmarkEnd w:id="1036"/>
      <w:bookmarkEnd w:id="1037"/>
      <w:bookmarkEnd w:id="1038"/>
      <w:bookmarkEnd w:id="1039"/>
      <w:bookmarkEnd w:id="1040"/>
      <w:bookmarkEnd w:id="1041"/>
    </w:p>
    <w:p>
      <w:pPr>
        <w:spacing w:line="480" w:lineRule="exact"/>
        <w:ind w:right="48" w:rightChars="17" w:firstLine="478"/>
        <w:rPr>
          <w:rFonts w:eastAsia="楷体_GB2312"/>
          <w:w w:val="80"/>
          <w:sz w:val="30"/>
        </w:rPr>
      </w:pPr>
    </w:p>
    <w:p>
      <w:pPr>
        <w:spacing w:line="600" w:lineRule="exact"/>
        <w:ind w:right="48" w:rightChars="17" w:firstLine="883"/>
        <w:jc w:val="left"/>
        <w:rPr>
          <w:rFonts w:ascii="宋体" w:hAnsi="宋体" w:eastAsia="宋体"/>
          <w:b/>
          <w:sz w:val="44"/>
          <w:szCs w:val="44"/>
        </w:rPr>
      </w:pPr>
    </w:p>
    <w:p>
      <w:pPr>
        <w:pStyle w:val="3"/>
      </w:pPr>
    </w:p>
    <w:p>
      <w:pPr>
        <w:pStyle w:val="3"/>
      </w:pPr>
      <w:bookmarkStart w:id="1042" w:name="_Toc9359"/>
      <w:bookmarkStart w:id="1043" w:name="_Toc9313"/>
      <w:bookmarkStart w:id="1044" w:name="_Toc8237"/>
      <w:bookmarkStart w:id="1045" w:name="_Toc2813"/>
      <w:bookmarkStart w:id="1046" w:name="_Toc28072"/>
      <w:bookmarkStart w:id="1047" w:name="_Toc32418"/>
      <w:bookmarkStart w:id="1048" w:name="_Toc21296"/>
      <w:bookmarkStart w:id="1049" w:name="_Toc14681"/>
      <w:bookmarkStart w:id="1050" w:name="_Toc16280"/>
      <w:bookmarkStart w:id="1051" w:name="_Toc6019"/>
      <w:bookmarkStart w:id="1052" w:name="_Toc11619"/>
      <w:bookmarkStart w:id="1053" w:name="_Toc24439"/>
      <w:bookmarkStart w:id="1054" w:name="_Toc16748"/>
      <w:bookmarkStart w:id="1055" w:name="_Toc29480"/>
      <w:r>
        <w:rPr>
          <w:rFonts w:hint="eastAsia"/>
        </w:rPr>
        <w:t>市住房城乡建设局关于贯彻执行《省住房城乡建设厅关于印发〈江苏省城市地下综合管廊</w:t>
      </w:r>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p>
    <w:p>
      <w:pPr>
        <w:pStyle w:val="3"/>
      </w:pPr>
      <w:bookmarkStart w:id="1056" w:name="_Toc17039"/>
      <w:bookmarkStart w:id="1057" w:name="_Toc15983"/>
      <w:bookmarkStart w:id="1058" w:name="_Toc18467"/>
      <w:bookmarkStart w:id="1059" w:name="_Toc25070"/>
      <w:bookmarkStart w:id="1060" w:name="_Toc5960"/>
      <w:bookmarkStart w:id="1061" w:name="_Toc11107"/>
      <w:bookmarkStart w:id="1062" w:name="_Toc21072"/>
      <w:bookmarkStart w:id="1063" w:name="_Toc13764"/>
      <w:bookmarkStart w:id="1064" w:name="_Toc24433"/>
      <w:bookmarkStart w:id="1065" w:name="_Toc24307"/>
      <w:bookmarkStart w:id="1066" w:name="_Toc6104"/>
      <w:bookmarkStart w:id="1067" w:name="_Toc11895"/>
      <w:bookmarkStart w:id="1068" w:name="_Toc9746"/>
      <w:bookmarkStart w:id="1069" w:name="_Toc11528"/>
      <w:r>
        <w:rPr>
          <w:rFonts w:hint="eastAsia"/>
        </w:rPr>
        <w:t>计价定额〉〈江苏省城市地下综合管廊</w:t>
      </w:r>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p>
    <w:p>
      <w:pPr>
        <w:pStyle w:val="3"/>
      </w:pPr>
      <w:bookmarkStart w:id="1070" w:name="_Toc11568"/>
      <w:bookmarkStart w:id="1071" w:name="_Toc26322"/>
      <w:bookmarkStart w:id="1072" w:name="_Toc23053"/>
      <w:bookmarkStart w:id="1073" w:name="_Toc21476"/>
      <w:bookmarkStart w:id="1074" w:name="_Toc6412"/>
      <w:bookmarkStart w:id="1075" w:name="_Toc16720"/>
      <w:bookmarkStart w:id="1076" w:name="_Toc12329"/>
      <w:bookmarkStart w:id="1077" w:name="_Toc706"/>
      <w:bookmarkStart w:id="1078" w:name="_Toc24148"/>
      <w:bookmarkStart w:id="1079" w:name="_Toc13837"/>
      <w:bookmarkStart w:id="1080" w:name="_Toc2046"/>
      <w:bookmarkStart w:id="1081" w:name="_Toc7324"/>
      <w:bookmarkStart w:id="1082" w:name="_Toc13236"/>
      <w:bookmarkStart w:id="1083" w:name="_Toc29543"/>
      <w:r>
        <w:rPr>
          <w:rFonts w:hint="eastAsia"/>
        </w:rPr>
        <w:t>费用定额〉和〈江苏省城市地下综合管廊</w:t>
      </w:r>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p>
    <w:p>
      <w:pPr>
        <w:pStyle w:val="3"/>
      </w:pPr>
      <w:bookmarkStart w:id="1084" w:name="_Toc16779"/>
      <w:bookmarkStart w:id="1085" w:name="_Toc15741"/>
      <w:bookmarkStart w:id="1086" w:name="_Toc24868"/>
      <w:bookmarkStart w:id="1087" w:name="_Toc22814"/>
      <w:bookmarkStart w:id="1088" w:name="_Toc22032"/>
      <w:bookmarkStart w:id="1089" w:name="_Toc20244"/>
      <w:bookmarkStart w:id="1090" w:name="_Toc14736"/>
      <w:bookmarkStart w:id="1091" w:name="_Toc9331"/>
      <w:bookmarkStart w:id="1092" w:name="_Toc15062"/>
      <w:bookmarkStart w:id="1093" w:name="_Toc11167"/>
      <w:bookmarkStart w:id="1094" w:name="_Toc6968"/>
      <w:bookmarkStart w:id="1095" w:name="_Toc22194"/>
      <w:bookmarkStart w:id="1096" w:name="_Toc16483"/>
      <w:bookmarkStart w:id="1097" w:name="_Toc7427"/>
      <w:r>
        <w:rPr>
          <w:rFonts w:hint="eastAsia"/>
        </w:rPr>
        <w:t>工程量计算规范〉的通知》的通知</w:t>
      </w:r>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p>
    <w:p>
      <w:pPr>
        <w:spacing w:line="580" w:lineRule="exact"/>
        <w:ind w:firstLine="560"/>
        <w:rPr>
          <w:rFonts w:ascii="仿宋_GB2312" w:hAnsi="宋体" w:cs="宋体"/>
          <w:color w:val="000000"/>
          <w:kern w:val="0"/>
          <w:szCs w:val="32"/>
        </w:rPr>
      </w:pPr>
    </w:p>
    <w:p>
      <w:pPr>
        <w:pStyle w:val="2"/>
        <w:numPr>
          <w:ilvl w:val="0"/>
          <w:numId w:val="0"/>
        </w:numPr>
        <w:ind w:left="420"/>
      </w:pPr>
    </w:p>
    <w:p>
      <w:pPr>
        <w:ind w:firstLine="0" w:firstLineChars="0"/>
      </w:pPr>
      <w:r>
        <w:rPr>
          <w:rFonts w:hint="eastAsia"/>
        </w:rPr>
        <w:t>各市、区住建局，苏州工业园区规建委，各有关单位：</w:t>
      </w:r>
    </w:p>
    <w:p>
      <w:pPr>
        <w:ind w:firstLine="560"/>
      </w:pPr>
      <w:r>
        <w:rPr>
          <w:rFonts w:hint="eastAsia"/>
        </w:rPr>
        <w:t>根据省住房城乡建设厅《关于印发〈江苏省城市地下综合管廊计价定额〉〈江苏省城市地下综合管廊费用定额〉和〈江苏省城市地下综合管廊工程量计算规范〉的通知》（苏建价〔201</w:t>
      </w:r>
      <w:r>
        <w:t>9</w:t>
      </w:r>
      <w:r>
        <w:rPr>
          <w:rFonts w:hint="eastAsia"/>
        </w:rPr>
        <w:t>〕</w:t>
      </w:r>
      <w:r>
        <w:t>002</w:t>
      </w:r>
      <w:r>
        <w:rPr>
          <w:rFonts w:hint="eastAsia"/>
        </w:rPr>
        <w:t>号）规定，结合我市具体实际情况，现将贯彻执行上述通知的有关要求明确如下：</w:t>
      </w:r>
    </w:p>
    <w:p>
      <w:pPr>
        <w:numPr>
          <w:ilvl w:val="0"/>
          <w:numId w:val="4"/>
        </w:numPr>
        <w:ind w:firstLine="560"/>
      </w:pPr>
      <w:r>
        <w:rPr>
          <w:rFonts w:hint="eastAsia"/>
        </w:rPr>
        <w:t>为了减少争议，增加可操作性，对管廊费用定额中措施项目费费率（表4-</w:t>
      </w:r>
      <w:r>
        <w:t>2</w:t>
      </w:r>
      <w:r>
        <w:rPr>
          <w:rFonts w:hint="eastAsia"/>
        </w:rPr>
        <w:t>），确定统一标准。调整后的措施项目费费率标准如下：</w:t>
      </w:r>
    </w:p>
    <w:p>
      <w:pPr>
        <w:spacing w:line="500" w:lineRule="exact"/>
        <w:ind w:firstLine="0" w:firstLineChars="0"/>
      </w:pPr>
    </w:p>
    <w:p>
      <w:pPr>
        <w:pStyle w:val="2"/>
        <w:numPr>
          <w:ilvl w:val="0"/>
          <w:numId w:val="0"/>
        </w:numPr>
        <w:ind w:left="420"/>
      </w:pPr>
    </w:p>
    <w:p>
      <w:pPr>
        <w:ind w:firstLine="560"/>
        <w:jc w:val="center"/>
      </w:pPr>
      <w:r>
        <w:rPr>
          <w:rFonts w:hint="eastAsia"/>
        </w:rPr>
        <w:t>表4-2-1  调整后的措施项目费费率（一般计税法）</w:t>
      </w:r>
    </w:p>
    <w:tbl>
      <w:tblPr>
        <w:tblStyle w:val="22"/>
        <w:tblW w:w="8538" w:type="dxa"/>
        <w:jc w:val="center"/>
        <w:tblLayout w:type="autofit"/>
        <w:tblCellMar>
          <w:top w:w="0" w:type="dxa"/>
          <w:left w:w="108" w:type="dxa"/>
          <w:bottom w:w="0" w:type="dxa"/>
          <w:right w:w="108" w:type="dxa"/>
        </w:tblCellMar>
      </w:tblPr>
      <w:tblGrid>
        <w:gridCol w:w="570"/>
        <w:gridCol w:w="2003"/>
        <w:gridCol w:w="1278"/>
        <w:gridCol w:w="2343"/>
        <w:gridCol w:w="2344"/>
      </w:tblGrid>
      <w:tr>
        <w:tblPrEx>
          <w:tblCellMar>
            <w:top w:w="0" w:type="dxa"/>
            <w:left w:w="108" w:type="dxa"/>
            <w:bottom w:w="0" w:type="dxa"/>
            <w:right w:w="108" w:type="dxa"/>
          </w:tblCellMar>
        </w:tblPrEx>
        <w:trPr>
          <w:trHeight w:val="486" w:hRule="atLeast"/>
          <w:jc w:val="center"/>
        </w:trPr>
        <w:tc>
          <w:tcPr>
            <w:tcW w:w="2573"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项目</w:t>
            </w:r>
          </w:p>
        </w:tc>
        <w:tc>
          <w:tcPr>
            <w:tcW w:w="1278"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计算基础</w:t>
            </w:r>
          </w:p>
        </w:tc>
        <w:tc>
          <w:tcPr>
            <w:tcW w:w="2343"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建筑和</w:t>
            </w:r>
            <w:r>
              <w:rPr>
                <w:rFonts w:ascii="仿宋_GB2312" w:hAnsi="宋体" w:cs="宋体"/>
                <w:color w:val="000000"/>
                <w:kern w:val="0"/>
                <w:sz w:val="24"/>
              </w:rPr>
              <w:t>装饰工程</w:t>
            </w:r>
            <w:r>
              <w:rPr>
                <w:rFonts w:hint="eastAsia" w:ascii="仿宋_GB2312" w:hAnsi="宋体" w:cs="宋体"/>
                <w:color w:val="000000"/>
                <w:kern w:val="0"/>
                <w:sz w:val="24"/>
              </w:rPr>
              <w:t>(%)</w:t>
            </w:r>
          </w:p>
        </w:tc>
        <w:tc>
          <w:tcPr>
            <w:tcW w:w="2344"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安装工程(%)</w:t>
            </w:r>
          </w:p>
        </w:tc>
      </w:tr>
      <w:tr>
        <w:tblPrEx>
          <w:tblCellMar>
            <w:top w:w="0" w:type="dxa"/>
            <w:left w:w="108" w:type="dxa"/>
            <w:bottom w:w="0" w:type="dxa"/>
            <w:right w:w="108" w:type="dxa"/>
          </w:tblCellMar>
        </w:tblPrEx>
        <w:trPr>
          <w:trHeight w:val="486" w:hRule="atLeast"/>
          <w:jc w:val="center"/>
        </w:trPr>
        <w:tc>
          <w:tcPr>
            <w:tcW w:w="2573"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夜间施工</w:t>
            </w:r>
          </w:p>
        </w:tc>
        <w:tc>
          <w:tcPr>
            <w:tcW w:w="1278" w:type="dxa"/>
            <w:vMerge w:val="restart"/>
            <w:tcBorders>
              <w:top w:val="nil"/>
              <w:left w:val="single" w:color="auto" w:sz="4" w:space="0"/>
              <w:bottom w:val="single" w:color="000000"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分部分项工程费</w:t>
            </w:r>
            <w:r>
              <w:rPr>
                <w:color w:val="000000"/>
                <w:kern w:val="0"/>
                <w:sz w:val="24"/>
              </w:rPr>
              <w:t>+</w:t>
            </w:r>
            <w:r>
              <w:rPr>
                <w:rFonts w:hint="eastAsia" w:ascii="仿宋_GB2312" w:hAnsi="宋体" w:cs="宋体"/>
                <w:color w:val="000000"/>
                <w:kern w:val="0"/>
                <w:sz w:val="24"/>
              </w:rPr>
              <w:t>单价措施项目费</w:t>
            </w:r>
            <w:r>
              <w:rPr>
                <w:color w:val="000000"/>
                <w:kern w:val="0"/>
                <w:sz w:val="24"/>
              </w:rPr>
              <w:t>-</w:t>
            </w:r>
            <w:r>
              <w:rPr>
                <w:rFonts w:hint="eastAsia" w:ascii="仿宋_GB2312" w:hAnsi="宋体" w:cs="宋体"/>
                <w:color w:val="000000"/>
                <w:kern w:val="0"/>
                <w:sz w:val="24"/>
              </w:rPr>
              <w:t>除税工程设备费</w:t>
            </w:r>
          </w:p>
        </w:tc>
        <w:tc>
          <w:tcPr>
            <w:tcW w:w="2343" w:type="dxa"/>
            <w:tcBorders>
              <w:top w:val="nil"/>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0.1</w:t>
            </w:r>
          </w:p>
        </w:tc>
        <w:tc>
          <w:tcPr>
            <w:tcW w:w="2344" w:type="dxa"/>
            <w:tcBorders>
              <w:top w:val="nil"/>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0.05</w:t>
            </w:r>
          </w:p>
        </w:tc>
      </w:tr>
      <w:tr>
        <w:tblPrEx>
          <w:tblCellMar>
            <w:top w:w="0" w:type="dxa"/>
            <w:left w:w="108" w:type="dxa"/>
            <w:bottom w:w="0" w:type="dxa"/>
            <w:right w:w="108" w:type="dxa"/>
          </w:tblCellMar>
        </w:tblPrEx>
        <w:trPr>
          <w:trHeight w:val="486" w:hRule="atLeast"/>
          <w:jc w:val="center"/>
        </w:trPr>
        <w:tc>
          <w:tcPr>
            <w:tcW w:w="2573"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冬雨季施工</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color w:val="000000"/>
                <w:kern w:val="0"/>
                <w:sz w:val="24"/>
              </w:rPr>
              <w:t>0.2</w:t>
            </w:r>
          </w:p>
        </w:tc>
        <w:tc>
          <w:tcPr>
            <w:tcW w:w="2344"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0.08</w:t>
            </w:r>
          </w:p>
        </w:tc>
      </w:tr>
      <w:tr>
        <w:tblPrEx>
          <w:tblCellMar>
            <w:top w:w="0" w:type="dxa"/>
            <w:left w:w="108" w:type="dxa"/>
            <w:bottom w:w="0" w:type="dxa"/>
            <w:right w:w="108" w:type="dxa"/>
          </w:tblCellMar>
        </w:tblPrEx>
        <w:trPr>
          <w:trHeight w:val="486" w:hRule="atLeast"/>
          <w:jc w:val="center"/>
        </w:trPr>
        <w:tc>
          <w:tcPr>
            <w:tcW w:w="2573"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已完工程及设备保护</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color w:val="000000"/>
                <w:kern w:val="0"/>
                <w:sz w:val="24"/>
              </w:rPr>
              <w:t>0.01</w:t>
            </w:r>
          </w:p>
        </w:tc>
        <w:tc>
          <w:tcPr>
            <w:tcW w:w="2344"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0.03</w:t>
            </w:r>
          </w:p>
        </w:tc>
      </w:tr>
      <w:tr>
        <w:tblPrEx>
          <w:tblCellMar>
            <w:top w:w="0" w:type="dxa"/>
            <w:left w:w="108" w:type="dxa"/>
            <w:bottom w:w="0" w:type="dxa"/>
            <w:right w:w="108" w:type="dxa"/>
          </w:tblCellMar>
        </w:tblPrEx>
        <w:trPr>
          <w:trHeight w:val="486" w:hRule="atLeast"/>
          <w:jc w:val="center"/>
        </w:trPr>
        <w:tc>
          <w:tcPr>
            <w:tcW w:w="2573"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临时设施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color w:val="000000"/>
                <w:kern w:val="0"/>
                <w:sz w:val="24"/>
              </w:rPr>
              <w:t xml:space="preserve">1.7 </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1.1</w:t>
            </w:r>
          </w:p>
        </w:tc>
      </w:tr>
      <w:tr>
        <w:tblPrEx>
          <w:tblCellMar>
            <w:top w:w="0" w:type="dxa"/>
            <w:left w:w="108" w:type="dxa"/>
            <w:bottom w:w="0" w:type="dxa"/>
            <w:right w:w="108" w:type="dxa"/>
          </w:tblCellMar>
        </w:tblPrEx>
        <w:trPr>
          <w:trHeight w:val="486" w:hRule="atLeast"/>
          <w:jc w:val="center"/>
        </w:trPr>
        <w:tc>
          <w:tcPr>
            <w:tcW w:w="2573"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赶工措施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0.5～2.2</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0.5～2.</w:t>
            </w:r>
            <w:r>
              <w:rPr>
                <w:color w:val="000000"/>
                <w:kern w:val="0"/>
                <w:sz w:val="24"/>
              </w:rPr>
              <w:t>1</w:t>
            </w:r>
          </w:p>
        </w:tc>
      </w:tr>
      <w:tr>
        <w:tblPrEx>
          <w:tblCellMar>
            <w:top w:w="0" w:type="dxa"/>
            <w:left w:w="108" w:type="dxa"/>
            <w:bottom w:w="0" w:type="dxa"/>
            <w:right w:w="108" w:type="dxa"/>
          </w:tblCellMar>
        </w:tblPrEx>
        <w:trPr>
          <w:trHeight w:val="486" w:hRule="atLeast"/>
          <w:jc w:val="center"/>
        </w:trPr>
        <w:tc>
          <w:tcPr>
            <w:tcW w:w="570" w:type="dxa"/>
            <w:vMerge w:val="restart"/>
            <w:tcBorders>
              <w:top w:val="single" w:color="auto" w:sz="4" w:space="0"/>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按质论价</w:t>
            </w:r>
          </w:p>
        </w:tc>
        <w:tc>
          <w:tcPr>
            <w:tcW w:w="200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国优</w:t>
            </w:r>
            <w:r>
              <w:rPr>
                <w:rFonts w:ascii="仿宋_GB2312" w:hAnsi="宋体" w:cs="宋体"/>
                <w:color w:val="000000"/>
                <w:kern w:val="0"/>
                <w:sz w:val="24"/>
              </w:rPr>
              <w:t>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1.3</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1.3</w:t>
            </w:r>
          </w:p>
        </w:tc>
      </w:tr>
      <w:tr>
        <w:tblPrEx>
          <w:tblCellMar>
            <w:top w:w="0" w:type="dxa"/>
            <w:left w:w="108" w:type="dxa"/>
            <w:bottom w:w="0" w:type="dxa"/>
            <w:right w:w="108" w:type="dxa"/>
          </w:tblCellMar>
        </w:tblPrEx>
        <w:trPr>
          <w:trHeight w:val="486" w:hRule="atLeast"/>
          <w:jc w:val="center"/>
        </w:trPr>
        <w:tc>
          <w:tcPr>
            <w:tcW w:w="570" w:type="dxa"/>
            <w:vMerge w:val="continue"/>
            <w:tcBorders>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rPr>
            </w:pPr>
          </w:p>
        </w:tc>
        <w:tc>
          <w:tcPr>
            <w:tcW w:w="200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国优专业</w:t>
            </w:r>
            <w:r>
              <w:rPr>
                <w:rFonts w:ascii="仿宋_GB2312" w:hAnsi="宋体" w:cs="宋体"/>
                <w:color w:val="000000"/>
                <w:kern w:val="0"/>
                <w:sz w:val="24"/>
              </w:rPr>
              <w:t>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w:t>
            </w:r>
            <w:r>
              <w:rPr>
                <w:color w:val="000000"/>
                <w:kern w:val="0"/>
                <w:sz w:val="24"/>
              </w:rPr>
              <w:t>-</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1.2</w:t>
            </w:r>
          </w:p>
        </w:tc>
      </w:tr>
      <w:tr>
        <w:tblPrEx>
          <w:tblCellMar>
            <w:top w:w="0" w:type="dxa"/>
            <w:left w:w="108" w:type="dxa"/>
            <w:bottom w:w="0" w:type="dxa"/>
            <w:right w:w="108" w:type="dxa"/>
          </w:tblCellMar>
        </w:tblPrEx>
        <w:trPr>
          <w:trHeight w:val="486" w:hRule="atLeast"/>
          <w:jc w:val="center"/>
        </w:trPr>
        <w:tc>
          <w:tcPr>
            <w:tcW w:w="570" w:type="dxa"/>
            <w:vMerge w:val="continue"/>
            <w:tcBorders>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rPr>
            </w:pPr>
          </w:p>
        </w:tc>
        <w:tc>
          <w:tcPr>
            <w:tcW w:w="200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省优工程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1.1</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1.1</w:t>
            </w:r>
          </w:p>
        </w:tc>
      </w:tr>
      <w:tr>
        <w:tblPrEx>
          <w:tblCellMar>
            <w:top w:w="0" w:type="dxa"/>
            <w:left w:w="108" w:type="dxa"/>
            <w:bottom w:w="0" w:type="dxa"/>
            <w:right w:w="108" w:type="dxa"/>
          </w:tblCellMar>
        </w:tblPrEx>
        <w:trPr>
          <w:trHeight w:val="486" w:hRule="atLeast"/>
          <w:jc w:val="center"/>
        </w:trPr>
        <w:tc>
          <w:tcPr>
            <w:tcW w:w="570" w:type="dxa"/>
            <w:vMerge w:val="continue"/>
            <w:tcBorders>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rPr>
            </w:pPr>
          </w:p>
        </w:tc>
        <w:tc>
          <w:tcPr>
            <w:tcW w:w="200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市优工程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0.8</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0.8</w:t>
            </w:r>
          </w:p>
        </w:tc>
      </w:tr>
      <w:tr>
        <w:tblPrEx>
          <w:tblCellMar>
            <w:top w:w="0" w:type="dxa"/>
            <w:left w:w="108" w:type="dxa"/>
            <w:bottom w:w="0" w:type="dxa"/>
            <w:right w:w="108" w:type="dxa"/>
          </w:tblCellMar>
        </w:tblPrEx>
        <w:trPr>
          <w:trHeight w:val="495" w:hRule="atLeast"/>
          <w:jc w:val="center"/>
        </w:trPr>
        <w:tc>
          <w:tcPr>
            <w:tcW w:w="570" w:type="dxa"/>
            <w:vMerge w:val="continue"/>
            <w:tcBorders>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p>
        </w:tc>
        <w:tc>
          <w:tcPr>
            <w:tcW w:w="2003"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市级</w:t>
            </w:r>
            <w:r>
              <w:rPr>
                <w:rFonts w:ascii="仿宋_GB2312" w:hAnsi="宋体" w:cs="宋体"/>
                <w:color w:val="000000"/>
                <w:kern w:val="0"/>
                <w:sz w:val="24"/>
                <w:szCs w:val="24"/>
              </w:rPr>
              <w:t>优质结构</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43"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0.6</w:t>
            </w:r>
          </w:p>
        </w:tc>
        <w:tc>
          <w:tcPr>
            <w:tcW w:w="2344"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w:t>
            </w:r>
            <w:r>
              <w:rPr>
                <w:color w:val="000000"/>
                <w:kern w:val="0"/>
                <w:sz w:val="24"/>
              </w:rPr>
              <w:t>-</w:t>
            </w:r>
          </w:p>
        </w:tc>
      </w:tr>
    </w:tbl>
    <w:p>
      <w:pPr>
        <w:ind w:firstLine="560"/>
        <w:jc w:val="center"/>
      </w:pPr>
      <w:r>
        <w:rPr>
          <w:rFonts w:hint="eastAsia"/>
        </w:rPr>
        <w:t>表4-2-2  调整后的措施项目费费率（简易计税法）</w:t>
      </w:r>
    </w:p>
    <w:tbl>
      <w:tblPr>
        <w:tblStyle w:val="22"/>
        <w:tblW w:w="8458" w:type="dxa"/>
        <w:jc w:val="center"/>
        <w:tblLayout w:type="autofit"/>
        <w:tblCellMar>
          <w:top w:w="0" w:type="dxa"/>
          <w:left w:w="108" w:type="dxa"/>
          <w:bottom w:w="0" w:type="dxa"/>
          <w:right w:w="108" w:type="dxa"/>
        </w:tblCellMar>
      </w:tblPr>
      <w:tblGrid>
        <w:gridCol w:w="580"/>
        <w:gridCol w:w="1968"/>
        <w:gridCol w:w="1267"/>
        <w:gridCol w:w="2321"/>
        <w:gridCol w:w="2322"/>
      </w:tblGrid>
      <w:tr>
        <w:tblPrEx>
          <w:tblCellMar>
            <w:top w:w="0" w:type="dxa"/>
            <w:left w:w="108" w:type="dxa"/>
            <w:bottom w:w="0" w:type="dxa"/>
            <w:right w:w="108" w:type="dxa"/>
          </w:tblCellMar>
        </w:tblPrEx>
        <w:trPr>
          <w:trHeight w:val="499" w:hRule="atLeast"/>
          <w:jc w:val="center"/>
        </w:trPr>
        <w:tc>
          <w:tcPr>
            <w:tcW w:w="2548"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项目</w:t>
            </w:r>
          </w:p>
        </w:tc>
        <w:tc>
          <w:tcPr>
            <w:tcW w:w="1267"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计算基础</w:t>
            </w:r>
          </w:p>
        </w:tc>
        <w:tc>
          <w:tcPr>
            <w:tcW w:w="2321"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建筑和</w:t>
            </w:r>
            <w:r>
              <w:rPr>
                <w:rFonts w:ascii="仿宋_GB2312" w:hAnsi="宋体" w:cs="宋体"/>
                <w:color w:val="000000"/>
                <w:kern w:val="0"/>
                <w:sz w:val="24"/>
              </w:rPr>
              <w:t>装饰工程</w:t>
            </w:r>
            <w:r>
              <w:rPr>
                <w:rFonts w:hint="eastAsia" w:ascii="仿宋_GB2312" w:hAnsi="宋体" w:cs="宋体"/>
                <w:color w:val="000000"/>
                <w:kern w:val="0"/>
                <w:sz w:val="24"/>
              </w:rPr>
              <w:t>(%)</w:t>
            </w:r>
          </w:p>
        </w:tc>
        <w:tc>
          <w:tcPr>
            <w:tcW w:w="2322"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安装工程(%)</w:t>
            </w:r>
          </w:p>
        </w:tc>
      </w:tr>
      <w:tr>
        <w:tblPrEx>
          <w:tblCellMar>
            <w:top w:w="0" w:type="dxa"/>
            <w:left w:w="108" w:type="dxa"/>
            <w:bottom w:w="0" w:type="dxa"/>
            <w:right w:w="108" w:type="dxa"/>
          </w:tblCellMar>
        </w:tblPrEx>
        <w:trPr>
          <w:trHeight w:val="499" w:hRule="atLeast"/>
          <w:jc w:val="center"/>
        </w:trPr>
        <w:tc>
          <w:tcPr>
            <w:tcW w:w="2548"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夜间施工</w:t>
            </w:r>
          </w:p>
        </w:tc>
        <w:tc>
          <w:tcPr>
            <w:tcW w:w="1267" w:type="dxa"/>
            <w:vMerge w:val="restart"/>
            <w:tcBorders>
              <w:top w:val="nil"/>
              <w:left w:val="single" w:color="auto" w:sz="4" w:space="0"/>
              <w:bottom w:val="single" w:color="000000"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分部分项工程费</w:t>
            </w:r>
            <w:r>
              <w:rPr>
                <w:color w:val="000000"/>
                <w:kern w:val="0"/>
                <w:sz w:val="24"/>
              </w:rPr>
              <w:t>+</w:t>
            </w:r>
            <w:r>
              <w:rPr>
                <w:rFonts w:hint="eastAsia" w:ascii="仿宋_GB2312" w:hAnsi="宋体" w:cs="宋体"/>
                <w:color w:val="000000"/>
                <w:kern w:val="0"/>
                <w:sz w:val="24"/>
              </w:rPr>
              <w:t>单价措施项目费</w:t>
            </w:r>
            <w:r>
              <w:rPr>
                <w:color w:val="000000"/>
                <w:kern w:val="0"/>
                <w:sz w:val="24"/>
              </w:rPr>
              <w:t>-</w:t>
            </w:r>
            <w:r>
              <w:rPr>
                <w:rFonts w:hint="eastAsia" w:ascii="仿宋_GB2312" w:hAnsi="宋体" w:cs="宋体"/>
                <w:color w:val="000000"/>
                <w:kern w:val="0"/>
                <w:sz w:val="24"/>
              </w:rPr>
              <w:t>工程设备费</w:t>
            </w:r>
          </w:p>
        </w:tc>
        <w:tc>
          <w:tcPr>
            <w:tcW w:w="2321" w:type="dxa"/>
            <w:tcBorders>
              <w:top w:val="nil"/>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w:t>
            </w:r>
            <w:r>
              <w:rPr>
                <w:color w:val="000000"/>
                <w:kern w:val="0"/>
                <w:sz w:val="24"/>
              </w:rPr>
              <w:t>1</w:t>
            </w:r>
          </w:p>
        </w:tc>
        <w:tc>
          <w:tcPr>
            <w:tcW w:w="2322" w:type="dxa"/>
            <w:tcBorders>
              <w:top w:val="nil"/>
              <w:left w:val="nil"/>
              <w:bottom w:val="single" w:color="auto" w:sz="4" w:space="0"/>
              <w:right w:val="single" w:color="auto" w:sz="4" w:space="0"/>
            </w:tcBorders>
            <w:vAlign w:val="center"/>
          </w:tcPr>
          <w:p>
            <w:pPr>
              <w:widowControl/>
              <w:ind w:firstLine="0" w:firstLineChars="0"/>
              <w:jc w:val="center"/>
              <w:rPr>
                <w:color w:val="000000"/>
                <w:kern w:val="0"/>
                <w:sz w:val="24"/>
              </w:rPr>
            </w:pPr>
            <w:r>
              <w:rPr>
                <w:color w:val="000000"/>
                <w:kern w:val="0"/>
                <w:sz w:val="24"/>
              </w:rPr>
              <w:t>0.05</w:t>
            </w:r>
          </w:p>
        </w:tc>
      </w:tr>
      <w:tr>
        <w:tblPrEx>
          <w:tblCellMar>
            <w:top w:w="0" w:type="dxa"/>
            <w:left w:w="108" w:type="dxa"/>
            <w:bottom w:w="0" w:type="dxa"/>
            <w:right w:w="108" w:type="dxa"/>
          </w:tblCellMar>
        </w:tblPrEx>
        <w:trPr>
          <w:trHeight w:val="499" w:hRule="atLeast"/>
          <w:jc w:val="center"/>
        </w:trPr>
        <w:tc>
          <w:tcPr>
            <w:tcW w:w="2548"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冬雨季施工</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color w:val="000000"/>
                <w:kern w:val="0"/>
                <w:sz w:val="24"/>
              </w:rPr>
              <w:t>0.2</w:t>
            </w:r>
          </w:p>
        </w:tc>
        <w:tc>
          <w:tcPr>
            <w:tcW w:w="2322"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0.08</w:t>
            </w:r>
          </w:p>
        </w:tc>
      </w:tr>
      <w:tr>
        <w:tblPrEx>
          <w:tblCellMar>
            <w:top w:w="0" w:type="dxa"/>
            <w:left w:w="108" w:type="dxa"/>
            <w:bottom w:w="0" w:type="dxa"/>
            <w:right w:w="108" w:type="dxa"/>
          </w:tblCellMar>
        </w:tblPrEx>
        <w:trPr>
          <w:trHeight w:val="499" w:hRule="atLeast"/>
          <w:jc w:val="center"/>
        </w:trPr>
        <w:tc>
          <w:tcPr>
            <w:tcW w:w="2548" w:type="dxa"/>
            <w:gridSpan w:val="2"/>
            <w:tcBorders>
              <w:top w:val="single" w:color="auto" w:sz="4" w:space="0"/>
              <w:left w:val="single" w:color="auto" w:sz="4" w:space="0"/>
              <w:bottom w:val="single" w:color="auto" w:sz="4" w:space="0"/>
              <w:right w:val="single" w:color="000000"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已完工程及设备保护</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color w:val="000000"/>
                <w:kern w:val="0"/>
                <w:sz w:val="24"/>
              </w:rPr>
              <w:t>0.01</w:t>
            </w:r>
          </w:p>
        </w:tc>
        <w:tc>
          <w:tcPr>
            <w:tcW w:w="2322" w:type="dxa"/>
            <w:tcBorders>
              <w:top w:val="single" w:color="auto" w:sz="4" w:space="0"/>
              <w:left w:val="nil"/>
              <w:bottom w:val="single" w:color="auto" w:sz="4" w:space="0"/>
              <w:right w:val="single" w:color="auto" w:sz="4" w:space="0"/>
            </w:tcBorders>
            <w:vAlign w:val="center"/>
          </w:tcPr>
          <w:p>
            <w:pPr>
              <w:widowControl/>
              <w:ind w:firstLine="0" w:firstLineChars="0"/>
              <w:jc w:val="center"/>
              <w:rPr>
                <w:color w:val="000000"/>
                <w:kern w:val="0"/>
                <w:sz w:val="24"/>
              </w:rPr>
            </w:pPr>
            <w:r>
              <w:rPr>
                <w:rFonts w:hint="eastAsia"/>
                <w:color w:val="000000"/>
                <w:kern w:val="0"/>
                <w:sz w:val="24"/>
              </w:rPr>
              <w:t>0.03</w:t>
            </w:r>
          </w:p>
        </w:tc>
      </w:tr>
      <w:tr>
        <w:tblPrEx>
          <w:tblCellMar>
            <w:top w:w="0" w:type="dxa"/>
            <w:left w:w="108" w:type="dxa"/>
            <w:bottom w:w="0" w:type="dxa"/>
            <w:right w:w="108" w:type="dxa"/>
          </w:tblCellMar>
        </w:tblPrEx>
        <w:trPr>
          <w:trHeight w:val="499" w:hRule="atLeast"/>
          <w:jc w:val="center"/>
        </w:trPr>
        <w:tc>
          <w:tcPr>
            <w:tcW w:w="2548"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临时设施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color w:val="000000"/>
                <w:kern w:val="0"/>
                <w:sz w:val="24"/>
              </w:rPr>
              <w:t>1.5</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w:t>
            </w:r>
            <w:r>
              <w:rPr>
                <w:color w:val="000000"/>
                <w:kern w:val="0"/>
                <w:sz w:val="24"/>
              </w:rPr>
              <w:t>1</w:t>
            </w:r>
          </w:p>
        </w:tc>
      </w:tr>
      <w:tr>
        <w:tblPrEx>
          <w:tblCellMar>
            <w:top w:w="0" w:type="dxa"/>
            <w:left w:w="108" w:type="dxa"/>
            <w:bottom w:w="0" w:type="dxa"/>
            <w:right w:w="108" w:type="dxa"/>
          </w:tblCellMar>
        </w:tblPrEx>
        <w:trPr>
          <w:trHeight w:val="499" w:hRule="atLeast"/>
          <w:jc w:val="center"/>
        </w:trPr>
        <w:tc>
          <w:tcPr>
            <w:tcW w:w="2548" w:type="dxa"/>
            <w:gridSpan w:val="2"/>
            <w:tcBorders>
              <w:top w:val="single" w:color="auto" w:sz="4" w:space="0"/>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rPr>
              <w:t>赶工措施</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0.5～2.</w:t>
            </w:r>
            <w:r>
              <w:rPr>
                <w:color w:val="000000"/>
                <w:kern w:val="0"/>
                <w:sz w:val="24"/>
              </w:rPr>
              <w:t>0</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0.5～2.</w:t>
            </w:r>
            <w:r>
              <w:rPr>
                <w:color w:val="000000"/>
                <w:kern w:val="0"/>
                <w:sz w:val="24"/>
              </w:rPr>
              <w:t>0</w:t>
            </w:r>
          </w:p>
        </w:tc>
      </w:tr>
      <w:tr>
        <w:tblPrEx>
          <w:tblCellMar>
            <w:top w:w="0" w:type="dxa"/>
            <w:left w:w="108" w:type="dxa"/>
            <w:bottom w:w="0" w:type="dxa"/>
            <w:right w:w="108" w:type="dxa"/>
          </w:tblCellMar>
        </w:tblPrEx>
        <w:trPr>
          <w:trHeight w:val="499" w:hRule="atLeast"/>
          <w:jc w:val="center"/>
        </w:trPr>
        <w:tc>
          <w:tcPr>
            <w:tcW w:w="580" w:type="dxa"/>
            <w:vMerge w:val="restart"/>
            <w:tcBorders>
              <w:top w:val="single" w:color="auto" w:sz="4" w:space="0"/>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按质论价</w:t>
            </w:r>
          </w:p>
        </w:tc>
        <w:tc>
          <w:tcPr>
            <w:tcW w:w="1968"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国优</w:t>
            </w:r>
            <w:r>
              <w:rPr>
                <w:rFonts w:ascii="仿宋_GB2312" w:hAnsi="宋体" w:cs="宋体"/>
                <w:color w:val="000000"/>
                <w:kern w:val="0"/>
                <w:sz w:val="24"/>
              </w:rPr>
              <w:t>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w:t>
            </w:r>
            <w:r>
              <w:rPr>
                <w:color w:val="000000"/>
                <w:kern w:val="0"/>
                <w:sz w:val="24"/>
              </w:rPr>
              <w:t>2</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w:t>
            </w:r>
            <w:r>
              <w:rPr>
                <w:color w:val="000000"/>
                <w:kern w:val="0"/>
                <w:sz w:val="24"/>
              </w:rPr>
              <w:t>2</w:t>
            </w:r>
          </w:p>
        </w:tc>
      </w:tr>
      <w:tr>
        <w:tblPrEx>
          <w:tblCellMar>
            <w:top w:w="0" w:type="dxa"/>
            <w:left w:w="108" w:type="dxa"/>
            <w:bottom w:w="0" w:type="dxa"/>
            <w:right w:w="108" w:type="dxa"/>
          </w:tblCellMar>
        </w:tblPrEx>
        <w:trPr>
          <w:trHeight w:val="499" w:hRule="atLeast"/>
          <w:jc w:val="center"/>
        </w:trPr>
        <w:tc>
          <w:tcPr>
            <w:tcW w:w="580" w:type="dxa"/>
            <w:vMerge w:val="continue"/>
            <w:tcBorders>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p>
        </w:tc>
        <w:tc>
          <w:tcPr>
            <w:tcW w:w="1968"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国优专业</w:t>
            </w:r>
            <w:r>
              <w:rPr>
                <w:rFonts w:ascii="仿宋_GB2312" w:hAnsi="宋体" w:cs="宋体"/>
                <w:color w:val="000000"/>
                <w:kern w:val="0"/>
                <w:sz w:val="24"/>
              </w:rPr>
              <w:t>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w:t>
            </w:r>
            <w:r>
              <w:rPr>
                <w:color w:val="000000"/>
                <w:kern w:val="0"/>
                <w:sz w:val="24"/>
              </w:rPr>
              <w:t>-</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w:t>
            </w:r>
            <w:r>
              <w:rPr>
                <w:color w:val="000000"/>
                <w:kern w:val="0"/>
                <w:sz w:val="24"/>
              </w:rPr>
              <w:t>1</w:t>
            </w:r>
          </w:p>
        </w:tc>
      </w:tr>
      <w:tr>
        <w:tblPrEx>
          <w:tblCellMar>
            <w:top w:w="0" w:type="dxa"/>
            <w:left w:w="108" w:type="dxa"/>
            <w:bottom w:w="0" w:type="dxa"/>
            <w:right w:w="108" w:type="dxa"/>
          </w:tblCellMar>
        </w:tblPrEx>
        <w:trPr>
          <w:trHeight w:val="499" w:hRule="atLeast"/>
          <w:jc w:val="center"/>
        </w:trPr>
        <w:tc>
          <w:tcPr>
            <w:tcW w:w="580" w:type="dxa"/>
            <w:vMerge w:val="continue"/>
            <w:tcBorders>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p>
        </w:tc>
        <w:tc>
          <w:tcPr>
            <w:tcW w:w="1968"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省优工程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w:t>
            </w:r>
            <w:r>
              <w:rPr>
                <w:color w:val="000000"/>
                <w:kern w:val="0"/>
                <w:sz w:val="24"/>
              </w:rPr>
              <w:t>0</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1.</w:t>
            </w:r>
            <w:r>
              <w:rPr>
                <w:color w:val="000000"/>
                <w:kern w:val="0"/>
                <w:sz w:val="24"/>
              </w:rPr>
              <w:t>0</w:t>
            </w:r>
          </w:p>
        </w:tc>
      </w:tr>
      <w:tr>
        <w:tblPrEx>
          <w:tblCellMar>
            <w:top w:w="0" w:type="dxa"/>
            <w:left w:w="108" w:type="dxa"/>
            <w:bottom w:w="0" w:type="dxa"/>
            <w:right w:w="108" w:type="dxa"/>
          </w:tblCellMar>
        </w:tblPrEx>
        <w:trPr>
          <w:trHeight w:val="499" w:hRule="atLeast"/>
          <w:jc w:val="center"/>
        </w:trPr>
        <w:tc>
          <w:tcPr>
            <w:tcW w:w="580" w:type="dxa"/>
            <w:vMerge w:val="continue"/>
            <w:tcBorders>
              <w:left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p>
        </w:tc>
        <w:tc>
          <w:tcPr>
            <w:tcW w:w="1968"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rPr>
            </w:pPr>
            <w:r>
              <w:rPr>
                <w:rFonts w:hint="eastAsia" w:ascii="仿宋_GB2312" w:hAnsi="宋体" w:cs="宋体"/>
                <w:color w:val="000000"/>
                <w:kern w:val="0"/>
                <w:sz w:val="24"/>
              </w:rPr>
              <w:t>市优工程</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w:t>
            </w:r>
            <w:r>
              <w:rPr>
                <w:color w:val="000000"/>
                <w:kern w:val="0"/>
                <w:sz w:val="24"/>
              </w:rPr>
              <w:t>7</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w:t>
            </w:r>
            <w:r>
              <w:rPr>
                <w:color w:val="000000"/>
                <w:kern w:val="0"/>
                <w:sz w:val="24"/>
              </w:rPr>
              <w:t>7</w:t>
            </w:r>
          </w:p>
        </w:tc>
      </w:tr>
      <w:tr>
        <w:tblPrEx>
          <w:tblCellMar>
            <w:top w:w="0" w:type="dxa"/>
            <w:left w:w="108" w:type="dxa"/>
            <w:bottom w:w="0" w:type="dxa"/>
            <w:right w:w="108" w:type="dxa"/>
          </w:tblCellMar>
        </w:tblPrEx>
        <w:trPr>
          <w:trHeight w:val="509" w:hRule="atLeast"/>
          <w:jc w:val="center"/>
        </w:trPr>
        <w:tc>
          <w:tcPr>
            <w:tcW w:w="580" w:type="dxa"/>
            <w:vMerge w:val="continue"/>
            <w:tcBorders>
              <w:left w:val="single" w:color="auto" w:sz="4" w:space="0"/>
              <w:bottom w:val="single" w:color="auto" w:sz="4" w:space="0"/>
              <w:right w:val="single" w:color="auto" w:sz="4" w:space="0"/>
            </w:tcBorders>
            <w:noWrap/>
            <w:vAlign w:val="center"/>
          </w:tcPr>
          <w:p>
            <w:pPr>
              <w:widowControl/>
              <w:ind w:firstLine="0" w:firstLineChars="0"/>
              <w:jc w:val="center"/>
              <w:rPr>
                <w:rFonts w:ascii="仿宋_GB2312" w:hAnsi="宋体" w:cs="宋体"/>
                <w:color w:val="000000"/>
                <w:kern w:val="0"/>
                <w:sz w:val="24"/>
                <w:szCs w:val="24"/>
              </w:rPr>
            </w:pPr>
          </w:p>
        </w:tc>
        <w:tc>
          <w:tcPr>
            <w:tcW w:w="1968"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仿宋_GB2312" w:hAnsi="宋体" w:cs="宋体"/>
                <w:color w:val="000000"/>
                <w:kern w:val="0"/>
                <w:sz w:val="24"/>
                <w:szCs w:val="24"/>
              </w:rPr>
            </w:pPr>
            <w:r>
              <w:rPr>
                <w:rFonts w:hint="eastAsia" w:ascii="仿宋_GB2312" w:hAnsi="宋体" w:cs="宋体"/>
                <w:color w:val="000000"/>
                <w:kern w:val="0"/>
                <w:sz w:val="24"/>
                <w:szCs w:val="24"/>
              </w:rPr>
              <w:t>市级</w:t>
            </w:r>
            <w:r>
              <w:rPr>
                <w:rFonts w:ascii="仿宋_GB2312" w:hAnsi="宋体" w:cs="宋体"/>
                <w:color w:val="000000"/>
                <w:kern w:val="0"/>
                <w:sz w:val="24"/>
                <w:szCs w:val="24"/>
              </w:rPr>
              <w:t>优质结构</w:t>
            </w:r>
          </w:p>
        </w:tc>
        <w:tc>
          <w:tcPr>
            <w:tcW w:w="0" w:type="auto"/>
            <w:vMerge w:val="continue"/>
            <w:tcBorders>
              <w:top w:val="nil"/>
              <w:left w:val="single" w:color="auto" w:sz="4" w:space="0"/>
              <w:bottom w:val="single" w:color="000000" w:sz="4" w:space="0"/>
              <w:right w:val="single" w:color="auto" w:sz="4" w:space="0"/>
            </w:tcBorders>
            <w:vAlign w:val="center"/>
          </w:tcPr>
          <w:p>
            <w:pPr>
              <w:widowControl/>
              <w:ind w:firstLine="0" w:firstLineChars="0"/>
              <w:jc w:val="left"/>
              <w:rPr>
                <w:rFonts w:ascii="仿宋_GB2312" w:hAnsi="宋体" w:cs="宋体"/>
                <w:color w:val="000000"/>
                <w:kern w:val="0"/>
                <w:sz w:val="24"/>
                <w:szCs w:val="24"/>
              </w:rPr>
            </w:pPr>
          </w:p>
        </w:tc>
        <w:tc>
          <w:tcPr>
            <w:tcW w:w="2321"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0.</w:t>
            </w:r>
            <w:r>
              <w:rPr>
                <w:color w:val="000000"/>
                <w:kern w:val="0"/>
                <w:sz w:val="24"/>
              </w:rPr>
              <w:t>5</w:t>
            </w:r>
          </w:p>
        </w:tc>
        <w:tc>
          <w:tcPr>
            <w:tcW w:w="2322" w:type="dxa"/>
            <w:tcBorders>
              <w:top w:val="single" w:color="auto" w:sz="4" w:space="0"/>
              <w:left w:val="nil"/>
              <w:bottom w:val="single" w:color="auto" w:sz="4" w:space="0"/>
              <w:right w:val="single" w:color="000000" w:sz="4" w:space="0"/>
            </w:tcBorders>
            <w:vAlign w:val="center"/>
          </w:tcPr>
          <w:p>
            <w:pPr>
              <w:widowControl/>
              <w:ind w:firstLine="0" w:firstLineChars="0"/>
              <w:jc w:val="center"/>
              <w:rPr>
                <w:color w:val="000000"/>
                <w:kern w:val="0"/>
                <w:sz w:val="24"/>
              </w:rPr>
            </w:pPr>
            <w:r>
              <w:rPr>
                <w:rFonts w:hint="eastAsia"/>
                <w:color w:val="000000"/>
                <w:kern w:val="0"/>
                <w:sz w:val="24"/>
              </w:rPr>
              <w:t>-</w:t>
            </w:r>
            <w:r>
              <w:rPr>
                <w:color w:val="000000"/>
                <w:kern w:val="0"/>
                <w:sz w:val="24"/>
              </w:rPr>
              <w:t>-</w:t>
            </w:r>
          </w:p>
        </w:tc>
      </w:tr>
    </w:tbl>
    <w:p>
      <w:pPr>
        <w:spacing w:line="600" w:lineRule="exact"/>
        <w:ind w:firstLine="560"/>
        <w:rPr>
          <w:rFonts w:ascii="仿宋_GB2312" w:hAnsi="宋体" w:cs="宋体"/>
          <w:color w:val="000000"/>
          <w:kern w:val="0"/>
          <w:szCs w:val="28"/>
        </w:rPr>
      </w:pPr>
      <w:r>
        <w:rPr>
          <w:rFonts w:hint="eastAsia" w:ascii="仿宋_GB2312" w:hAnsi="宋体" w:cs="宋体"/>
          <w:color w:val="000000"/>
          <w:kern w:val="0"/>
          <w:szCs w:val="28"/>
        </w:rPr>
        <w:t>注：大型土石方工程除按质论价费用不计取外，其他均按本表中建筑和装饰工程费率标准执行。</w:t>
      </w:r>
    </w:p>
    <w:p>
      <w:pPr>
        <w:ind w:firstLine="560"/>
      </w:pPr>
      <w:r>
        <w:rPr>
          <w:rFonts w:hint="eastAsia"/>
        </w:rPr>
        <w:t>二</w:t>
      </w:r>
      <w:r>
        <w:t>、</w:t>
      </w:r>
      <w:r>
        <w:rPr>
          <w:rFonts w:hint="eastAsia"/>
        </w:rPr>
        <w:t>我市环境保护税由各类建设工程的建设方（含代建方）按照相关规定向税务机关缴纳，在承发包工程造价中不再计列。</w:t>
      </w:r>
    </w:p>
    <w:p>
      <w:pPr>
        <w:ind w:firstLine="560"/>
      </w:pPr>
      <w:r>
        <w:rPr>
          <w:rFonts w:hint="eastAsia"/>
        </w:rPr>
        <w:t>三、《江苏省城市地下综合管廊计价定额》《江苏省城市地下综合管廊费用定额》和《江苏省城市地下综合管廊工程量计算规范》以及本文之规定，从201</w:t>
      </w:r>
      <w:r>
        <w:t>9</w:t>
      </w:r>
      <w:r>
        <w:rPr>
          <w:rFonts w:hint="eastAsia"/>
        </w:rPr>
        <w:t>年</w:t>
      </w:r>
      <w:r>
        <w:t>4</w:t>
      </w:r>
      <w:r>
        <w:rPr>
          <w:rFonts w:hint="eastAsia"/>
        </w:rPr>
        <w:t>月1日起开始执行。201</w:t>
      </w:r>
      <w:r>
        <w:t>9</w:t>
      </w:r>
      <w:r>
        <w:rPr>
          <w:rFonts w:hint="eastAsia"/>
        </w:rPr>
        <w:t>年</w:t>
      </w:r>
      <w:r>
        <w:t>4</w:t>
      </w:r>
      <w:r>
        <w:rPr>
          <w:rFonts w:hint="eastAsia"/>
        </w:rPr>
        <w:t>月1日起发布招标文件的招投标工程和签订施工合同的非招投标工程均适用本规定。</w:t>
      </w:r>
    </w:p>
    <w:p>
      <w:pPr>
        <w:ind w:firstLine="560"/>
      </w:pPr>
    </w:p>
    <w:p>
      <w:pPr>
        <w:ind w:firstLine="560"/>
      </w:pPr>
      <w:r>
        <w:rPr>
          <w:rFonts w:hint="eastAsia"/>
        </w:rPr>
        <w:t>附件：省住房和城乡建设厅关于印发《江苏省城市地下综合管廊计价定额》《江苏省城市地下综合管廊费用定额》和《江苏省城市地下综合管廊工程量计算规范》的通知（苏建价[2019]002号文）</w:t>
      </w:r>
    </w:p>
    <w:p>
      <w:pPr>
        <w:ind w:firstLine="560"/>
      </w:pPr>
    </w:p>
    <w:p>
      <w:pPr>
        <w:ind w:firstLine="560"/>
      </w:pPr>
    </w:p>
    <w:p>
      <w:pPr>
        <w:ind w:firstLine="560"/>
      </w:pPr>
    </w:p>
    <w:p>
      <w:pPr>
        <w:ind w:firstLine="4200" w:firstLineChars="1500"/>
      </w:pPr>
      <w:r>
        <w:rPr>
          <w:rFonts w:hint="eastAsia"/>
        </w:rPr>
        <w:t>苏州市住房和城乡建设局</w:t>
      </w:r>
    </w:p>
    <w:p>
      <w:pPr>
        <w:ind w:firstLine="4928" w:firstLineChars="1760"/>
      </w:pPr>
      <w:r>
        <w:rPr>
          <w:rFonts w:hint="eastAsia"/>
        </w:rPr>
        <w:t>2019年4月15日</w:t>
      </w:r>
    </w:p>
    <w:p>
      <w:pPr>
        <w:spacing w:line="460" w:lineRule="exact"/>
        <w:ind w:firstLine="520"/>
        <w:jc w:val="right"/>
        <w:rPr>
          <w:rFonts w:ascii="仿宋_GB2312"/>
        </w:rPr>
      </w:pPr>
      <w:r>
        <w:rPr>
          <w:rFonts w:hint="eastAsia" w:ascii="仿宋_GB2312"/>
          <w:spacing w:val="-10"/>
          <w:szCs w:val="32"/>
        </w:rPr>
        <w:t xml:space="preserve"> </w:t>
      </w:r>
    </w:p>
    <w:p>
      <w:pPr>
        <w:widowControl/>
        <w:ind w:firstLine="562"/>
        <w:jc w:val="left"/>
        <w:rPr>
          <w:rFonts w:ascii="仿宋_GB2312"/>
          <w:b/>
        </w:rPr>
      </w:pPr>
      <w:r>
        <w:rPr>
          <w:rFonts w:ascii="仿宋_GB2312"/>
          <w:b/>
        </w:rPr>
        <w:br w:type="page"/>
      </w:r>
    </w:p>
    <w:p>
      <w:pPr>
        <w:tabs>
          <w:tab w:val="left" w:pos="6560"/>
        </w:tabs>
        <w:spacing w:line="460" w:lineRule="exact"/>
        <w:ind w:right="-73" w:rightChars="-26" w:firstLine="560"/>
        <w:rPr>
          <w:rFonts w:ascii="仿宋_GB2312"/>
          <w:spacing w:val="-10"/>
          <w:szCs w:val="32"/>
        </w:rPr>
      </w:pPr>
      <w:r>
        <w:rPr>
          <w:rFonts w:ascii="仿宋_GB2312"/>
          <w:spacing w:val="-10"/>
          <w:szCs w:val="32"/>
        </w:rPr>
        <w:drawing>
          <wp:anchor distT="0" distB="0" distL="114300" distR="114300" simplePos="0" relativeHeight="251672576" behindDoc="1" locked="0" layoutInCell="1" allowOverlap="1">
            <wp:simplePos x="0" y="0"/>
            <wp:positionH relativeFrom="margin">
              <wp:align>left</wp:align>
            </wp:positionH>
            <wp:positionV relativeFrom="paragraph">
              <wp:posOffset>385445</wp:posOffset>
            </wp:positionV>
            <wp:extent cx="5616575" cy="7726680"/>
            <wp:effectExtent l="0" t="0" r="3175" b="7620"/>
            <wp:wrapSquare wrapText="bothSides"/>
            <wp:docPr id="674609" name="图片 674609" descr="C:\Users\Administrator\Desktop\苏住建建〔2019〕19号附件——省住房和城乡建设厅关于印发《江苏省城市地下综合管廊计价定额》《江苏省城市地下综合管廊费用定额》和《江苏省城\苏住建建〔2019〕19号附件——省住房和城乡建设厅关于印发《江苏省城市地下综合管廊计价定额》《江苏省城市地下综合管廊费用定额》和《江苏省城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09" name="图片 674609" descr="C:\Users\Administrator\Desktop\苏住建建〔2019〕19号附件——省住房和城乡建设厅关于印发《江苏省城市地下综合管廊计价定额》《江苏省城市地下综合管廊费用定额》和《江苏省城\苏住建建〔2019〕19号附件——省住房和城乡建设厅关于印发《江苏省城市地下综合管廊计价定额》《江苏省城市地下综合管廊费用定额》和《江苏省城_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616575" cy="7726680"/>
                    </a:xfrm>
                    <a:prstGeom prst="rect">
                      <a:avLst/>
                    </a:prstGeom>
                    <a:noFill/>
                    <a:ln>
                      <a:noFill/>
                    </a:ln>
                  </pic:spPr>
                </pic:pic>
              </a:graphicData>
            </a:graphic>
          </wp:anchor>
        </w:drawing>
      </w:r>
      <w:r>
        <w:rPr>
          <w:rFonts w:hint="eastAsia" w:ascii="仿宋_GB2312"/>
          <w:spacing w:val="-10"/>
          <w:szCs w:val="32"/>
        </w:rPr>
        <w:t>附件：</w:t>
      </w:r>
    </w:p>
    <w:p>
      <w:pPr>
        <w:widowControl/>
        <w:ind w:firstLine="520"/>
        <w:jc w:val="left"/>
        <w:rPr>
          <w:rFonts w:ascii="仿宋_GB2312"/>
          <w:spacing w:val="-10"/>
          <w:szCs w:val="32"/>
        </w:rPr>
      </w:pPr>
    </w:p>
    <w:p>
      <w:pPr>
        <w:tabs>
          <w:tab w:val="left" w:pos="6560"/>
        </w:tabs>
        <w:spacing w:line="460" w:lineRule="exact"/>
        <w:ind w:right="-73" w:rightChars="-26" w:firstLine="560"/>
        <w:rPr>
          <w:rFonts w:ascii="仿宋_GB2312"/>
          <w:spacing w:val="-10"/>
          <w:szCs w:val="32"/>
        </w:rPr>
      </w:pPr>
      <w:r>
        <w:rPr>
          <w:rFonts w:ascii="仿宋_GB2312"/>
          <w:spacing w:val="-10"/>
          <w:szCs w:val="32"/>
        </w:rPr>
        <w:drawing>
          <wp:anchor distT="0" distB="0" distL="114300" distR="114300" simplePos="0" relativeHeight="251673600" behindDoc="0" locked="0" layoutInCell="1" allowOverlap="1">
            <wp:simplePos x="0" y="0"/>
            <wp:positionH relativeFrom="column">
              <wp:posOffset>396875</wp:posOffset>
            </wp:positionH>
            <wp:positionV relativeFrom="page">
              <wp:posOffset>1248410</wp:posOffset>
            </wp:positionV>
            <wp:extent cx="5274310" cy="7885430"/>
            <wp:effectExtent l="0" t="0" r="2540" b="1270"/>
            <wp:wrapTopAndBottom/>
            <wp:docPr id="674610" name="图片 674610" descr="C:\Users\Administrator\Desktop\苏住建建〔2019〕19号附件——省住房和城乡建设厅关于印发《江苏省城市地下综合管廊计价定额》《江苏省城市地下综合管廊费用定额》和《江苏省城\苏住建建〔2019〕19号附件——省住房和城乡建设厅关于印发《江苏省城市地下综合管廊计价定额》《江苏省城市地下综合管廊费用定额》和《江苏省城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10" name="图片 674610" descr="C:\Users\Administrator\Desktop\苏住建建〔2019〕19号附件——省住房和城乡建设厅关于印发《江苏省城市地下综合管廊计价定额》《江苏省城市地下综合管廊费用定额》和《江苏省城\苏住建建〔2019〕19号附件——省住房和城乡建设厅关于印发《江苏省城市地下综合管廊计价定额》《江苏省城市地下综合管廊费用定额》和《江苏省城_2.png"/>
                    <pic:cNvPicPr>
                      <a:picLocks noChangeAspect="1" noChangeArrowheads="1"/>
                    </pic:cNvPicPr>
                  </pic:nvPicPr>
                  <pic:blipFill>
                    <a:blip r:embed="rId76">
                      <a:extLst>
                        <a:ext uri="{28A0092B-C50C-407E-A947-70E740481C1C}">
                          <a14:useLocalDpi xmlns:a14="http://schemas.microsoft.com/office/drawing/2010/main" val="0"/>
                        </a:ext>
                      </a:extLst>
                    </a:blip>
                    <a:srcRect l="6354" t="4832" r="7575" b="5006"/>
                    <a:stretch>
                      <a:fillRect/>
                    </a:stretch>
                  </pic:blipFill>
                  <pic:spPr>
                    <a:xfrm>
                      <a:off x="0" y="0"/>
                      <a:ext cx="5274310" cy="7885430"/>
                    </a:xfrm>
                    <a:prstGeom prst="rect">
                      <a:avLst/>
                    </a:prstGeom>
                    <a:noFill/>
                    <a:ln>
                      <a:noFill/>
                    </a:ln>
                  </pic:spPr>
                </pic:pic>
              </a:graphicData>
            </a:graphic>
          </wp:anchor>
        </w:drawing>
      </w:r>
    </w:p>
    <w:p>
      <w:pPr>
        <w:tabs>
          <w:tab w:val="left" w:pos="6560"/>
        </w:tabs>
        <w:spacing w:line="460" w:lineRule="exact"/>
        <w:ind w:right="-73" w:rightChars="-26" w:firstLine="520"/>
        <w:rPr>
          <w:rFonts w:ascii="仿宋_GB2312"/>
          <w:spacing w:val="-10"/>
          <w:szCs w:val="32"/>
        </w:rPr>
      </w:pPr>
    </w:p>
    <w:p>
      <w:pPr>
        <w:tabs>
          <w:tab w:val="left" w:pos="6560"/>
        </w:tabs>
        <w:spacing w:line="460" w:lineRule="exact"/>
        <w:ind w:right="-73" w:rightChars="-26" w:firstLine="560"/>
        <w:rPr>
          <w:rFonts w:ascii="仿宋_GB2312"/>
        </w:rPr>
      </w:pPr>
      <w:r>
        <w:drawing>
          <wp:anchor distT="0" distB="0" distL="114300" distR="114300" simplePos="0" relativeHeight="251674624" behindDoc="1" locked="0" layoutInCell="1" allowOverlap="1">
            <wp:simplePos x="0" y="0"/>
            <wp:positionH relativeFrom="column">
              <wp:posOffset>-148590</wp:posOffset>
            </wp:positionH>
            <wp:positionV relativeFrom="paragraph">
              <wp:posOffset>177165</wp:posOffset>
            </wp:positionV>
            <wp:extent cx="6000750" cy="2312670"/>
            <wp:effectExtent l="0" t="0" r="0" b="12065"/>
            <wp:wrapNone/>
            <wp:docPr id="675955" name="图片 675955"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5" name="图片 675955"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10882" t="44692" r="9773"/>
                    <a:stretch>
                      <a:fillRect/>
                    </a:stretch>
                  </pic:blipFill>
                  <pic:spPr>
                    <a:xfrm>
                      <a:off x="0" y="0"/>
                      <a:ext cx="6000750" cy="2312670"/>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098" w:name="_Toc9476"/>
      <w:bookmarkStart w:id="1099" w:name="_Toc20713"/>
      <w:bookmarkStart w:id="1100" w:name="_Toc5616"/>
      <w:bookmarkStart w:id="1101" w:name="_Toc27959"/>
      <w:bookmarkStart w:id="1102" w:name="_Toc6776"/>
      <w:bookmarkStart w:id="1103" w:name="_Toc18003"/>
      <w:bookmarkStart w:id="1104" w:name="_Toc25433"/>
      <w:bookmarkStart w:id="1105" w:name="_Toc19638"/>
      <w:bookmarkStart w:id="1106" w:name="_Toc21896"/>
      <w:bookmarkStart w:id="1107" w:name="_Toc7254"/>
      <w:bookmarkStart w:id="1108" w:name="_Toc19800"/>
      <w:r>
        <w:rPr>
          <w:rFonts w:hint="eastAsia"/>
        </w:rPr>
        <w:t>苏住建建〔2019〕32号</w:t>
      </w:r>
      <w:bookmarkEnd w:id="1098"/>
      <w:bookmarkEnd w:id="1099"/>
      <w:bookmarkEnd w:id="1100"/>
      <w:bookmarkEnd w:id="1101"/>
      <w:bookmarkEnd w:id="1102"/>
      <w:bookmarkEnd w:id="1103"/>
      <w:bookmarkEnd w:id="1104"/>
      <w:bookmarkEnd w:id="1105"/>
      <w:bookmarkEnd w:id="1106"/>
      <w:bookmarkEnd w:id="1107"/>
      <w:bookmarkEnd w:id="1108"/>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rPr>
          <w:rFonts w:ascii="方正小标宋_GBK" w:hAnsi="宋体"/>
        </w:rPr>
      </w:pPr>
    </w:p>
    <w:p>
      <w:pPr>
        <w:pStyle w:val="3"/>
      </w:pPr>
      <w:bookmarkStart w:id="1109" w:name="_Toc7458"/>
      <w:bookmarkStart w:id="1110" w:name="_Toc20251"/>
      <w:bookmarkStart w:id="1111" w:name="_Toc19946"/>
      <w:bookmarkStart w:id="1112" w:name="_Toc6658"/>
      <w:bookmarkStart w:id="1113" w:name="_Toc10745"/>
      <w:bookmarkStart w:id="1114" w:name="_Toc4237"/>
      <w:bookmarkStart w:id="1115" w:name="_Toc11940"/>
      <w:bookmarkStart w:id="1116" w:name="_Toc9543"/>
      <w:bookmarkStart w:id="1117" w:name="_Toc18420"/>
      <w:bookmarkStart w:id="1118" w:name="_Toc15074"/>
      <w:bookmarkStart w:id="1119" w:name="_Toc22287"/>
      <w:bookmarkStart w:id="1120" w:name="_Toc4357"/>
      <w:bookmarkStart w:id="1121" w:name="_Toc7212"/>
      <w:bookmarkStart w:id="1122" w:name="_Toc22435"/>
      <w:r>
        <w:rPr>
          <w:rFonts w:hint="eastAsia" w:ascii="方正小标宋_GBK" w:hAnsi="宋体"/>
        </w:rPr>
        <w:t>市住房城乡建设局关于贯彻</w:t>
      </w:r>
      <w:r>
        <w:rPr>
          <w:rFonts w:hint="eastAsia"/>
        </w:rPr>
        <w:t>执行《省住房</w:t>
      </w:r>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p>
    <w:p>
      <w:pPr>
        <w:pStyle w:val="3"/>
      </w:pPr>
      <w:bookmarkStart w:id="1123" w:name="_Toc6030"/>
      <w:bookmarkStart w:id="1124" w:name="_Toc12838"/>
      <w:bookmarkStart w:id="1125" w:name="_Toc32231"/>
      <w:bookmarkStart w:id="1126" w:name="_Toc28910"/>
      <w:bookmarkStart w:id="1127" w:name="_Toc6118"/>
      <w:bookmarkStart w:id="1128" w:name="_Toc9468"/>
      <w:bookmarkStart w:id="1129" w:name="_Toc31392"/>
      <w:bookmarkStart w:id="1130" w:name="_Toc28940"/>
      <w:bookmarkStart w:id="1131" w:name="_Toc21670"/>
      <w:bookmarkStart w:id="1132" w:name="_Toc8128"/>
      <w:bookmarkStart w:id="1133" w:name="_Toc1672"/>
      <w:bookmarkStart w:id="1134" w:name="_Toc17014"/>
      <w:bookmarkStart w:id="1135" w:name="_Toc2214"/>
      <w:bookmarkStart w:id="1136" w:name="_Toc1648"/>
      <w:r>
        <w:rPr>
          <w:rFonts w:hint="eastAsia"/>
        </w:rPr>
        <w:t>城乡建设厅关于建筑工人实名制费用</w:t>
      </w:r>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p>
    <w:p>
      <w:pPr>
        <w:pStyle w:val="3"/>
        <w:rPr>
          <w:rFonts w:ascii="宋体" w:hAnsi="宋体"/>
          <w:w w:val="80"/>
        </w:rPr>
      </w:pPr>
      <w:bookmarkStart w:id="1137" w:name="_Toc21378"/>
      <w:bookmarkStart w:id="1138" w:name="_Toc28109"/>
      <w:bookmarkStart w:id="1139" w:name="_Toc3073"/>
      <w:bookmarkStart w:id="1140" w:name="_Toc16807"/>
      <w:bookmarkStart w:id="1141" w:name="_Toc11050"/>
      <w:bookmarkStart w:id="1142" w:name="_Toc15753"/>
      <w:bookmarkStart w:id="1143" w:name="_Toc17299"/>
      <w:bookmarkStart w:id="1144" w:name="_Toc10667"/>
      <w:bookmarkStart w:id="1145" w:name="_Toc17654"/>
      <w:bookmarkStart w:id="1146" w:name="_Toc27086"/>
      <w:bookmarkStart w:id="1147" w:name="_Toc2928"/>
      <w:bookmarkStart w:id="1148" w:name="_Toc10132"/>
      <w:bookmarkStart w:id="1149" w:name="_Toc22516"/>
      <w:bookmarkStart w:id="1150" w:name="_Toc12446"/>
      <w:r>
        <w:rPr>
          <w:rFonts w:hint="eastAsia"/>
        </w:rPr>
        <w:t>计取方法的公告》的通</w:t>
      </w:r>
      <w:r>
        <w:rPr>
          <w:rFonts w:hint="eastAsia" w:ascii="方正小标宋_GBK" w:hAnsi="宋体"/>
        </w:rPr>
        <w:t>知</w:t>
      </w:r>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p>
    <w:p>
      <w:pPr>
        <w:pStyle w:val="8"/>
        <w:spacing w:line="600" w:lineRule="exact"/>
        <w:ind w:firstLine="560"/>
        <w:rPr>
          <w:rFonts w:hAnsi="仿宋"/>
          <w:szCs w:val="32"/>
        </w:rPr>
      </w:pPr>
    </w:p>
    <w:p>
      <w:pPr>
        <w:pStyle w:val="8"/>
        <w:spacing w:line="600" w:lineRule="exact"/>
        <w:ind w:firstLine="0" w:firstLineChars="0"/>
        <w:rPr>
          <w:rFonts w:hAnsi="仿宋"/>
          <w:szCs w:val="32"/>
        </w:rPr>
      </w:pPr>
    </w:p>
    <w:p>
      <w:pPr>
        <w:ind w:firstLine="0" w:firstLineChars="0"/>
      </w:pPr>
      <w:r>
        <w:rPr>
          <w:rFonts w:hint="eastAsia"/>
        </w:rPr>
        <w:t>各市、区住建局，苏州工业园区规建委，各有关单位：</w:t>
      </w:r>
    </w:p>
    <w:p>
      <w:pPr>
        <w:ind w:firstLine="560"/>
      </w:pPr>
      <w:r>
        <w:rPr>
          <w:rFonts w:hint="eastAsia"/>
        </w:rPr>
        <w:t>根据《省住房城乡建设厅关于建筑工人实名制费用计取方法的公告》（省厅公告〔2019〕第19号）规定，并结合我市具体实际情况，现将有关要求明确如下：</w:t>
      </w:r>
    </w:p>
    <w:p>
      <w:pPr>
        <w:ind w:firstLine="560"/>
      </w:pPr>
      <w:r>
        <w:rPr>
          <w:rFonts w:hint="eastAsia"/>
        </w:rPr>
        <w:t>一、对招标工程，招标控制价中的建筑工人实名制费用按省公告取费标准表中的费率计取，不考虑实名制设备由建筑工人工资专用帐户开户银行提供的情况；投标人自主报价，结算时不调整。</w:t>
      </w:r>
    </w:p>
    <w:p>
      <w:pPr>
        <w:ind w:firstLine="560"/>
      </w:pPr>
      <w:r>
        <w:rPr>
          <w:rFonts w:hint="eastAsia"/>
        </w:rPr>
        <w:t>二、《省住房城乡建设厅关于建筑工人实名制费用计取方法的公告》以及本文之规定，从2019年9月1日起开始执行。</w:t>
      </w:r>
    </w:p>
    <w:p>
      <w:pPr>
        <w:ind w:firstLine="560"/>
      </w:pPr>
    </w:p>
    <w:p>
      <w:pPr>
        <w:pStyle w:val="2"/>
        <w:numPr>
          <w:ilvl w:val="0"/>
          <w:numId w:val="0"/>
        </w:numPr>
        <w:ind w:left="420"/>
      </w:pPr>
    </w:p>
    <w:p>
      <w:pPr>
        <w:ind w:firstLine="560"/>
      </w:pPr>
      <w:r>
        <w:rPr>
          <w:rFonts w:hint="eastAsia"/>
        </w:rPr>
        <w:t xml:space="preserve">附件：《省住房城乡建设厅关于建筑工人实名制费用计取方法的公告》（省厅公告〔2019〕第19号） </w:t>
      </w:r>
    </w:p>
    <w:p>
      <w:pPr>
        <w:ind w:firstLine="560"/>
      </w:pPr>
    </w:p>
    <w:p>
      <w:pPr>
        <w:ind w:firstLine="560"/>
      </w:pPr>
    </w:p>
    <w:p>
      <w:pPr>
        <w:ind w:firstLine="560"/>
      </w:pPr>
    </w:p>
    <w:p>
      <w:pPr>
        <w:ind w:firstLine="4200" w:firstLineChars="1500"/>
      </w:pPr>
      <w:r>
        <w:rPr>
          <w:rFonts w:hint="eastAsia"/>
        </w:rPr>
        <w:t>苏州市住房和城乡建设局</w:t>
      </w:r>
    </w:p>
    <w:p>
      <w:pPr>
        <w:ind w:firstLine="4760" w:firstLineChars="1700"/>
      </w:pPr>
      <w:r>
        <w:rPr>
          <w:rFonts w:hint="eastAsia"/>
        </w:rPr>
        <w:t>2019年8月23日</w:t>
      </w:r>
    </w:p>
    <w:p>
      <w:pPr>
        <w:tabs>
          <w:tab w:val="left" w:pos="6560"/>
        </w:tabs>
        <w:spacing w:line="600" w:lineRule="exact"/>
        <w:ind w:right="480" w:firstLine="560"/>
        <w:jc w:val="right"/>
        <w:rPr>
          <w:rFonts w:ascii="仿宋_GB2312"/>
        </w:rPr>
      </w:pPr>
    </w:p>
    <w:p>
      <w:pPr>
        <w:tabs>
          <w:tab w:val="left" w:pos="6560"/>
        </w:tabs>
        <w:spacing w:line="600" w:lineRule="exact"/>
        <w:ind w:right="480" w:firstLine="560"/>
        <w:jc w:val="right"/>
        <w:rPr>
          <w:rFonts w:ascii="仿宋_GB2312"/>
        </w:rPr>
      </w:pPr>
    </w:p>
    <w:p>
      <w:pPr>
        <w:tabs>
          <w:tab w:val="left" w:pos="6560"/>
        </w:tabs>
        <w:spacing w:line="600" w:lineRule="exact"/>
        <w:ind w:right="480" w:firstLine="560"/>
        <w:jc w:val="right"/>
        <w:rPr>
          <w:rFonts w:ascii="仿宋_GB2312"/>
        </w:rPr>
      </w:pPr>
    </w:p>
    <w:p>
      <w:pPr>
        <w:tabs>
          <w:tab w:val="left" w:pos="6560"/>
        </w:tabs>
        <w:spacing w:line="600" w:lineRule="exact"/>
        <w:ind w:right="480" w:firstLine="560"/>
        <w:jc w:val="right"/>
        <w:rPr>
          <w:rFonts w:ascii="仿宋_GB2312"/>
        </w:rPr>
      </w:pPr>
    </w:p>
    <w:p>
      <w:pPr>
        <w:tabs>
          <w:tab w:val="left" w:pos="6560"/>
        </w:tabs>
        <w:spacing w:line="600" w:lineRule="exact"/>
        <w:ind w:right="480" w:firstLine="560"/>
        <w:jc w:val="right"/>
        <w:rPr>
          <w:rFonts w:ascii="仿宋_GB2312"/>
        </w:rPr>
      </w:pPr>
    </w:p>
    <w:p>
      <w:pPr>
        <w:widowControl/>
        <w:ind w:firstLine="520"/>
        <w:jc w:val="left"/>
        <w:rPr>
          <w:rFonts w:ascii="仿宋" w:hAnsi="仿宋" w:eastAsia="仿宋"/>
          <w:spacing w:val="-10"/>
          <w:szCs w:val="32"/>
        </w:rPr>
      </w:pPr>
    </w:p>
    <w:p>
      <w:pPr>
        <w:widowControl/>
        <w:ind w:firstLine="520"/>
        <w:jc w:val="left"/>
        <w:rPr>
          <w:rFonts w:ascii="仿宋" w:hAnsi="仿宋" w:eastAsia="仿宋"/>
          <w:spacing w:val="-10"/>
          <w:szCs w:val="32"/>
        </w:rPr>
      </w:pPr>
      <w:r>
        <w:rPr>
          <w:rFonts w:ascii="仿宋" w:hAnsi="仿宋" w:eastAsia="仿宋"/>
          <w:spacing w:val="-10"/>
          <w:szCs w:val="32"/>
        </w:rPr>
        <w:br w:type="page"/>
      </w:r>
    </w:p>
    <w:p>
      <w:pPr>
        <w:spacing w:line="400" w:lineRule="exact"/>
        <w:ind w:firstLine="0" w:firstLineChars="0"/>
        <w:jc w:val="left"/>
        <w:rPr>
          <w:rFonts w:ascii="仿宋" w:hAnsi="仿宋" w:eastAsia="仿宋"/>
          <w:spacing w:val="-10"/>
          <w:szCs w:val="32"/>
        </w:rPr>
      </w:pPr>
      <w:r>
        <w:rPr>
          <w:rFonts w:hint="eastAsia" w:ascii="仿宋" w:hAnsi="仿宋" w:eastAsia="仿宋"/>
          <w:spacing w:val="-10"/>
          <w:szCs w:val="32"/>
        </w:rPr>
        <w:t>附件：</w:t>
      </w:r>
    </w:p>
    <w:p>
      <w:pPr>
        <w:widowControl/>
        <w:ind w:firstLine="0" w:firstLineChars="0"/>
        <w:jc w:val="left"/>
        <w:rPr>
          <w:rFonts w:ascii="仿宋" w:hAnsi="仿宋" w:eastAsia="仿宋"/>
          <w:spacing w:val="-10"/>
          <w:szCs w:val="32"/>
        </w:rPr>
      </w:pPr>
      <w:r>
        <w:drawing>
          <wp:anchor distT="0" distB="0" distL="114300" distR="114300" simplePos="0" relativeHeight="251675648" behindDoc="0" locked="0" layoutInCell="1" allowOverlap="1">
            <wp:simplePos x="0" y="0"/>
            <wp:positionH relativeFrom="margin">
              <wp:posOffset>5715</wp:posOffset>
            </wp:positionH>
            <wp:positionV relativeFrom="page">
              <wp:posOffset>1800225</wp:posOffset>
            </wp:positionV>
            <wp:extent cx="5476875" cy="7513320"/>
            <wp:effectExtent l="0" t="0" r="9525" b="11430"/>
            <wp:wrapTopAndBottom/>
            <wp:docPr id="675957" name="图片 67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7" name="图片 675957"/>
                    <pic:cNvPicPr>
                      <a:picLocks noChangeAspect="1"/>
                    </pic:cNvPicPr>
                  </pic:nvPicPr>
                  <pic:blipFill>
                    <a:blip r:embed="rId77">
                      <a:extLst>
                        <a:ext uri="{28A0092B-C50C-407E-A947-70E740481C1C}">
                          <a14:useLocalDpi xmlns:a14="http://schemas.microsoft.com/office/drawing/2010/main" val="0"/>
                        </a:ext>
                      </a:extLst>
                    </a:blip>
                    <a:srcRect l="6320" t="8879" r="9305" b="5282"/>
                    <a:stretch>
                      <a:fillRect/>
                    </a:stretch>
                  </pic:blipFill>
                  <pic:spPr>
                    <a:xfrm>
                      <a:off x="0" y="0"/>
                      <a:ext cx="5476875" cy="7513320"/>
                    </a:xfrm>
                    <a:prstGeom prst="rect">
                      <a:avLst/>
                    </a:prstGeom>
                  </pic:spPr>
                </pic:pic>
              </a:graphicData>
            </a:graphic>
          </wp:anchor>
        </w:drawing>
      </w:r>
      <w:r>
        <w:rPr>
          <w:rFonts w:ascii="仿宋" w:hAnsi="仿宋" w:eastAsia="仿宋"/>
          <w:spacing w:val="-10"/>
          <w:szCs w:val="32"/>
        </w:rPr>
        <w:br w:type="page"/>
      </w:r>
    </w:p>
    <w:p>
      <w:pPr>
        <w:widowControl/>
        <w:ind w:firstLine="560"/>
        <w:jc w:val="left"/>
        <w:rPr>
          <w:rFonts w:ascii="仿宋" w:hAnsi="仿宋" w:eastAsia="仿宋"/>
          <w:spacing w:val="-10"/>
          <w:szCs w:val="32"/>
        </w:rPr>
      </w:pPr>
      <w:r>
        <w:drawing>
          <wp:anchor distT="0" distB="0" distL="114300" distR="114300" simplePos="0" relativeHeight="251676672" behindDoc="0" locked="0" layoutInCell="1" allowOverlap="1">
            <wp:simplePos x="0" y="0"/>
            <wp:positionH relativeFrom="column">
              <wp:posOffset>242570</wp:posOffset>
            </wp:positionH>
            <wp:positionV relativeFrom="page">
              <wp:posOffset>1493520</wp:posOffset>
            </wp:positionV>
            <wp:extent cx="5339080" cy="7651115"/>
            <wp:effectExtent l="0" t="0" r="13970" b="6985"/>
            <wp:wrapSquare wrapText="bothSides"/>
            <wp:docPr id="675959" name="图片 67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9" name="图片 675959"/>
                    <pic:cNvPicPr>
                      <a:picLocks noChangeAspect="1"/>
                    </pic:cNvPicPr>
                  </pic:nvPicPr>
                  <pic:blipFill>
                    <a:blip r:embed="rId78">
                      <a:extLst>
                        <a:ext uri="{28A0092B-C50C-407E-A947-70E740481C1C}">
                          <a14:useLocalDpi xmlns:a14="http://schemas.microsoft.com/office/drawing/2010/main" val="0"/>
                        </a:ext>
                      </a:extLst>
                    </a:blip>
                    <a:srcRect l="7711" t="8757" r="8559" b="6448"/>
                    <a:stretch>
                      <a:fillRect/>
                    </a:stretch>
                  </pic:blipFill>
                  <pic:spPr>
                    <a:xfrm>
                      <a:off x="0" y="0"/>
                      <a:ext cx="5339080" cy="7651115"/>
                    </a:xfrm>
                    <a:prstGeom prst="rect">
                      <a:avLst/>
                    </a:prstGeom>
                  </pic:spPr>
                </pic:pic>
              </a:graphicData>
            </a:graphic>
          </wp:anchor>
        </w:drawing>
      </w:r>
      <w:r>
        <w:rPr>
          <w:rFonts w:ascii="仿宋" w:hAnsi="仿宋" w:eastAsia="仿宋"/>
          <w:spacing w:val="-10"/>
          <w:szCs w:val="32"/>
        </w:rPr>
        <w:br w:type="page"/>
      </w:r>
    </w:p>
    <w:p>
      <w:pPr>
        <w:widowControl/>
        <w:ind w:firstLine="560"/>
        <w:jc w:val="left"/>
        <w:rPr>
          <w:rFonts w:ascii="仿宋" w:hAnsi="仿宋" w:eastAsia="仿宋"/>
          <w:spacing w:val="-10"/>
          <w:szCs w:val="32"/>
        </w:rPr>
      </w:pPr>
      <w:r>
        <w:drawing>
          <wp:anchor distT="0" distB="0" distL="114300" distR="114300" simplePos="0" relativeHeight="251677696" behindDoc="0" locked="0" layoutInCell="1" allowOverlap="1">
            <wp:simplePos x="0" y="0"/>
            <wp:positionH relativeFrom="column">
              <wp:posOffset>100965</wp:posOffset>
            </wp:positionH>
            <wp:positionV relativeFrom="paragraph">
              <wp:posOffset>548005</wp:posOffset>
            </wp:positionV>
            <wp:extent cx="5420995" cy="7715250"/>
            <wp:effectExtent l="0" t="0" r="8255" b="0"/>
            <wp:wrapSquare wrapText="bothSides"/>
            <wp:docPr id="675960" name="图片 67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60" name="图片 675960"/>
                    <pic:cNvPicPr>
                      <a:picLocks noChangeAspect="1"/>
                    </pic:cNvPicPr>
                  </pic:nvPicPr>
                  <pic:blipFill>
                    <a:blip r:embed="rId79">
                      <a:extLst>
                        <a:ext uri="{28A0092B-C50C-407E-A947-70E740481C1C}">
                          <a14:useLocalDpi xmlns:a14="http://schemas.microsoft.com/office/drawing/2010/main" val="0"/>
                        </a:ext>
                      </a:extLst>
                    </a:blip>
                    <a:srcRect l="8977" t="9293" r="6863" b="6057"/>
                    <a:stretch>
                      <a:fillRect/>
                    </a:stretch>
                  </pic:blipFill>
                  <pic:spPr>
                    <a:xfrm>
                      <a:off x="0" y="0"/>
                      <a:ext cx="5420995" cy="7715250"/>
                    </a:xfrm>
                    <a:prstGeom prst="rect">
                      <a:avLst/>
                    </a:prstGeom>
                  </pic:spPr>
                </pic:pic>
              </a:graphicData>
            </a:graphic>
          </wp:anchor>
        </w:drawing>
      </w:r>
      <w:r>
        <w:rPr>
          <w:rFonts w:ascii="仿宋" w:hAnsi="仿宋" w:eastAsia="仿宋"/>
          <w:spacing w:val="-10"/>
          <w:szCs w:val="32"/>
        </w:rPr>
        <w:br w:type="page"/>
      </w:r>
    </w:p>
    <w:p>
      <w:pPr>
        <w:widowControl/>
        <w:ind w:firstLine="560"/>
        <w:jc w:val="left"/>
        <w:rPr>
          <w:rFonts w:ascii="仿宋" w:hAnsi="仿宋" w:eastAsia="仿宋"/>
          <w:spacing w:val="-10"/>
          <w:szCs w:val="32"/>
        </w:rPr>
      </w:pPr>
      <w:r>
        <w:drawing>
          <wp:anchor distT="0" distB="0" distL="114300" distR="114300" simplePos="0" relativeHeight="251678720" behindDoc="0" locked="0" layoutInCell="1" allowOverlap="1">
            <wp:simplePos x="0" y="0"/>
            <wp:positionH relativeFrom="column">
              <wp:posOffset>171450</wp:posOffset>
            </wp:positionH>
            <wp:positionV relativeFrom="paragraph">
              <wp:posOffset>535940</wp:posOffset>
            </wp:positionV>
            <wp:extent cx="5346065" cy="7734300"/>
            <wp:effectExtent l="0" t="0" r="6985" b="0"/>
            <wp:wrapSquare wrapText="bothSides"/>
            <wp:docPr id="675961" name="图片 67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61" name="图片 675961"/>
                    <pic:cNvPicPr>
                      <a:picLocks noChangeAspect="1"/>
                    </pic:cNvPicPr>
                  </pic:nvPicPr>
                  <pic:blipFill>
                    <a:blip r:embed="rId80">
                      <a:extLst>
                        <a:ext uri="{28A0092B-C50C-407E-A947-70E740481C1C}">
                          <a14:useLocalDpi xmlns:a14="http://schemas.microsoft.com/office/drawing/2010/main" val="0"/>
                        </a:ext>
                      </a:extLst>
                    </a:blip>
                    <a:srcRect l="7462" t="8845" r="9011" b="5753"/>
                    <a:stretch>
                      <a:fillRect/>
                    </a:stretch>
                  </pic:blipFill>
                  <pic:spPr>
                    <a:xfrm>
                      <a:off x="0" y="0"/>
                      <a:ext cx="5346065" cy="7734300"/>
                    </a:xfrm>
                    <a:prstGeom prst="rect">
                      <a:avLst/>
                    </a:prstGeom>
                  </pic:spPr>
                </pic:pic>
              </a:graphicData>
            </a:graphic>
          </wp:anchor>
        </w:drawing>
      </w:r>
      <w:r>
        <w:rPr>
          <w:rFonts w:ascii="仿宋" w:hAnsi="仿宋" w:eastAsia="仿宋"/>
          <w:spacing w:val="-10"/>
          <w:szCs w:val="32"/>
        </w:rPr>
        <w:br w:type="page"/>
      </w:r>
    </w:p>
    <w:p>
      <w:pPr>
        <w:tabs>
          <w:tab w:val="left" w:pos="7797"/>
        </w:tabs>
        <w:ind w:firstLine="560"/>
        <w:jc w:val="center"/>
        <w:rPr>
          <w:b/>
          <w:sz w:val="52"/>
        </w:rPr>
      </w:pPr>
      <w:r>
        <w:drawing>
          <wp:anchor distT="0" distB="0" distL="114300" distR="114300" simplePos="0" relativeHeight="251679744" behindDoc="1" locked="0" layoutInCell="1" allowOverlap="1">
            <wp:simplePos x="0" y="0"/>
            <wp:positionH relativeFrom="column">
              <wp:posOffset>-923925</wp:posOffset>
            </wp:positionH>
            <wp:positionV relativeFrom="paragraph">
              <wp:posOffset>-914400</wp:posOffset>
            </wp:positionV>
            <wp:extent cx="7560310" cy="2268220"/>
            <wp:effectExtent l="0" t="0" r="0" b="18415"/>
            <wp:wrapNone/>
            <wp:docPr id="678530" name="图片 678530" descr="苏州市住房和城乡建设局 便签 文件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0" name="图片 678530" descr="苏州市住房和城乡建设局 便签 文件头"/>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7560310" cy="2268220"/>
                    </a:xfrm>
                    <a:prstGeom prst="rect">
                      <a:avLst/>
                    </a:prstGeom>
                    <a:noFill/>
                    <a:ln>
                      <a:noFill/>
                    </a:ln>
                  </pic:spPr>
                </pic:pic>
              </a:graphicData>
            </a:graphic>
          </wp:anchor>
        </w:drawing>
      </w:r>
    </w:p>
    <w:p>
      <w:pPr>
        <w:ind w:firstLine="1044"/>
        <w:jc w:val="center"/>
        <w:rPr>
          <w:b/>
          <w:sz w:val="52"/>
        </w:rPr>
      </w:pPr>
    </w:p>
    <w:p>
      <w:pPr>
        <w:ind w:firstLine="1044"/>
        <w:jc w:val="center"/>
        <w:rPr>
          <w:b/>
          <w:sz w:val="52"/>
        </w:rPr>
      </w:pPr>
    </w:p>
    <w:p>
      <w:pPr>
        <w:spacing w:before="120" w:beforeLines="50" w:line="500" w:lineRule="exact"/>
        <w:ind w:firstLine="560"/>
        <w:jc w:val="right"/>
        <w:rPr>
          <w:rFonts w:ascii="仿宋_GB2312"/>
          <w:szCs w:val="32"/>
        </w:rPr>
      </w:pPr>
    </w:p>
    <w:p>
      <w:pPr>
        <w:pStyle w:val="5"/>
      </w:pPr>
    </w:p>
    <w:p>
      <w:pPr>
        <w:pStyle w:val="4"/>
      </w:pPr>
      <w:bookmarkStart w:id="1151" w:name="_Toc28182"/>
      <w:bookmarkStart w:id="1152" w:name="_Toc22218"/>
      <w:bookmarkStart w:id="1153" w:name="_Toc26797"/>
      <w:bookmarkStart w:id="1154" w:name="_Toc13083"/>
      <w:bookmarkStart w:id="1155" w:name="_Toc25144"/>
      <w:bookmarkStart w:id="1156" w:name="_Toc24574"/>
      <w:bookmarkStart w:id="1157" w:name="_Toc26205"/>
      <w:bookmarkStart w:id="1158" w:name="_Toc28956"/>
      <w:bookmarkStart w:id="1159" w:name="_Toc31579"/>
      <w:bookmarkStart w:id="1160" w:name="_Toc24016"/>
      <w:bookmarkStart w:id="1161" w:name="_Toc769"/>
      <w:r>
        <w:rPr>
          <w:rFonts w:hint="eastAsia"/>
        </w:rPr>
        <w:t>苏建函建〔2020〕122号</w:t>
      </w:r>
      <w:bookmarkEnd w:id="1151"/>
      <w:bookmarkEnd w:id="1152"/>
      <w:bookmarkEnd w:id="1153"/>
      <w:bookmarkEnd w:id="1154"/>
      <w:bookmarkEnd w:id="1155"/>
      <w:bookmarkEnd w:id="1156"/>
      <w:bookmarkEnd w:id="1157"/>
      <w:bookmarkEnd w:id="1158"/>
      <w:bookmarkEnd w:id="1159"/>
      <w:bookmarkEnd w:id="1160"/>
      <w:bookmarkEnd w:id="1161"/>
    </w:p>
    <w:p>
      <w:pPr>
        <w:spacing w:line="600" w:lineRule="exact"/>
        <w:ind w:firstLine="880"/>
        <w:jc w:val="center"/>
        <w:rPr>
          <w:rFonts w:ascii="方正小标宋_GBK" w:hAnsi="黑体" w:eastAsia="方正小标宋_GBK"/>
          <w:sz w:val="44"/>
          <w:szCs w:val="44"/>
        </w:rPr>
      </w:pPr>
      <w:bookmarkStart w:id="1162" w:name="标题"/>
      <w:bookmarkEnd w:id="1162"/>
    </w:p>
    <w:p>
      <w:pPr>
        <w:pStyle w:val="3"/>
      </w:pPr>
      <w:bookmarkStart w:id="1163" w:name="_Toc25428"/>
      <w:bookmarkStart w:id="1164" w:name="_Toc4915"/>
      <w:bookmarkStart w:id="1165" w:name="_Toc14258"/>
      <w:bookmarkStart w:id="1166" w:name="_Toc12774"/>
      <w:bookmarkStart w:id="1167" w:name="_Toc21721"/>
      <w:bookmarkStart w:id="1168" w:name="_Toc32400"/>
      <w:bookmarkStart w:id="1169" w:name="_Toc24056"/>
      <w:bookmarkStart w:id="1170" w:name="_Toc25927"/>
      <w:bookmarkStart w:id="1171" w:name="_Toc25083"/>
      <w:bookmarkStart w:id="1172" w:name="_Toc10666"/>
      <w:bookmarkStart w:id="1173" w:name="_Toc10798"/>
      <w:bookmarkStart w:id="1174" w:name="_Toc4577"/>
      <w:bookmarkStart w:id="1175" w:name="_Toc26792"/>
      <w:bookmarkStart w:id="1176" w:name="_Toc11695"/>
      <w:r>
        <w:rPr>
          <w:rFonts w:hint="eastAsia"/>
        </w:rPr>
        <w:t>关于贯彻落实《省住房和城乡建设厅</w:t>
      </w:r>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pPr>
        <w:pStyle w:val="3"/>
      </w:pPr>
      <w:bookmarkStart w:id="1177" w:name="_Toc24469"/>
      <w:bookmarkStart w:id="1178" w:name="_Toc8085"/>
      <w:bookmarkStart w:id="1179" w:name="_Toc22414"/>
      <w:bookmarkStart w:id="1180" w:name="_Toc26559"/>
      <w:bookmarkStart w:id="1181" w:name="_Toc3052"/>
      <w:bookmarkStart w:id="1182" w:name="_Toc2151"/>
      <w:bookmarkStart w:id="1183" w:name="_Toc6065"/>
      <w:bookmarkStart w:id="1184" w:name="_Toc15822"/>
      <w:bookmarkStart w:id="1185" w:name="_Toc1533"/>
      <w:bookmarkStart w:id="1186" w:name="_Toc19592"/>
      <w:bookmarkStart w:id="1187" w:name="_Toc20802"/>
      <w:bookmarkStart w:id="1188" w:name="_Toc6812"/>
      <w:bookmarkStart w:id="1189" w:name="_Toc22216"/>
      <w:bookmarkStart w:id="1190" w:name="_Toc30975"/>
      <w:r>
        <w:rPr>
          <w:rFonts w:hint="eastAsia"/>
        </w:rPr>
        <w:t>关于实施安全文明施工措施费动态</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p>
    <w:p>
      <w:pPr>
        <w:pStyle w:val="3"/>
      </w:pPr>
      <w:bookmarkStart w:id="1191" w:name="_Toc32336"/>
      <w:bookmarkStart w:id="1192" w:name="_Toc6853"/>
      <w:bookmarkStart w:id="1193" w:name="_Toc14034"/>
      <w:bookmarkStart w:id="1194" w:name="_Toc4891"/>
      <w:bookmarkStart w:id="1195" w:name="_Toc335"/>
      <w:bookmarkStart w:id="1196" w:name="_Toc13673"/>
      <w:bookmarkStart w:id="1197" w:name="_Toc8192"/>
      <w:bookmarkStart w:id="1198" w:name="_Toc7264"/>
      <w:bookmarkStart w:id="1199" w:name="_Toc26363"/>
      <w:bookmarkStart w:id="1200" w:name="_Toc19346"/>
      <w:bookmarkStart w:id="1201" w:name="_Toc21439"/>
      <w:bookmarkStart w:id="1202" w:name="_Toc32536"/>
      <w:bookmarkStart w:id="1203" w:name="_Toc6678"/>
      <w:bookmarkStart w:id="1204" w:name="_Toc28381"/>
      <w:r>
        <w:rPr>
          <w:rFonts w:hint="eastAsia"/>
        </w:rPr>
        <w:t>计价管理的公告》的通知</w:t>
      </w:r>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p>
    <w:p>
      <w:pPr>
        <w:spacing w:line="600" w:lineRule="exact"/>
        <w:ind w:firstLine="883"/>
        <w:jc w:val="center"/>
        <w:rPr>
          <w:rFonts w:ascii="仿宋_GB2312" w:hAnsi="宋体"/>
          <w:b/>
          <w:bCs/>
          <w:sz w:val="44"/>
          <w:szCs w:val="44"/>
        </w:rPr>
      </w:pPr>
    </w:p>
    <w:p>
      <w:pPr>
        <w:ind w:firstLine="560"/>
      </w:pPr>
    </w:p>
    <w:p>
      <w:pPr>
        <w:ind w:firstLine="0" w:firstLineChars="0"/>
      </w:pPr>
      <w:r>
        <w:rPr>
          <w:rFonts w:hint="eastAsia"/>
        </w:rPr>
        <w:t>各市、区住建局（委），苏州工业园区规建委，各有关单位：</w:t>
      </w:r>
    </w:p>
    <w:p>
      <w:pPr>
        <w:ind w:firstLine="560"/>
      </w:pPr>
      <w:r>
        <w:rPr>
          <w:rFonts w:hint="eastAsia"/>
        </w:rPr>
        <w:t>现将</w:t>
      </w:r>
      <w:r>
        <w:t>《</w:t>
      </w:r>
      <w:r>
        <w:rPr>
          <w:rFonts w:hint="eastAsia"/>
        </w:rPr>
        <w:t>省住房和城乡建设厅关于实施安全文明施工措施费动态计价管理的公告</w:t>
      </w:r>
      <w:r>
        <w:t>》</w:t>
      </w:r>
      <w:r>
        <w:rPr>
          <w:rFonts w:hint="eastAsia"/>
        </w:rPr>
        <w:t>（省厅公告〔20</w:t>
      </w:r>
      <w:r>
        <w:t>20</w:t>
      </w:r>
      <w:r>
        <w:rPr>
          <w:rFonts w:hint="eastAsia"/>
        </w:rPr>
        <w:t>〕第1</w:t>
      </w:r>
      <w:r>
        <w:t>1</w:t>
      </w:r>
      <w:r>
        <w:rPr>
          <w:rFonts w:hint="eastAsia"/>
        </w:rPr>
        <w:t>号）</w:t>
      </w:r>
      <w:r>
        <w:t>转发给你们，</w:t>
      </w:r>
      <w:r>
        <w:rPr>
          <w:rFonts w:hint="eastAsia"/>
        </w:rPr>
        <w:t>并结合我市</w:t>
      </w:r>
      <w:r>
        <w:t>实际情况，提出如下</w:t>
      </w:r>
      <w:r>
        <w:rPr>
          <w:rFonts w:hint="eastAsia"/>
        </w:rPr>
        <w:t>要求</w:t>
      </w:r>
      <w:r>
        <w:t>，请一并遵照执行。</w:t>
      </w:r>
    </w:p>
    <w:p>
      <w:pPr>
        <w:ind w:firstLine="560"/>
      </w:pPr>
      <w:r>
        <w:t>一、</w:t>
      </w:r>
      <w:r>
        <w:rPr>
          <w:rFonts w:hint="eastAsia"/>
        </w:rPr>
        <w:t>安全文明施工措施费为不可竞争费。招标人、造价咨询单位在编制招标控制价和投标人投标报价时，非招标项目的发包人、承包人应严格</w:t>
      </w:r>
      <w:r>
        <w:t>执行</w:t>
      </w:r>
      <w:r>
        <w:rPr>
          <w:rFonts w:hint="eastAsia"/>
        </w:rPr>
        <w:t>计价</w:t>
      </w:r>
      <w:r>
        <w:t>有关规定足额计取</w:t>
      </w:r>
      <w:r>
        <w:rPr>
          <w:rFonts w:hint="eastAsia"/>
        </w:rPr>
        <w:t>，不得随意</w:t>
      </w:r>
      <w:r>
        <w:t>降低计价标准。</w:t>
      </w:r>
    </w:p>
    <w:p>
      <w:pPr>
        <w:ind w:firstLine="560"/>
      </w:pPr>
      <w:r>
        <w:t>二、</w:t>
      </w:r>
      <w:r>
        <w:rPr>
          <w:rFonts w:hint="eastAsia"/>
        </w:rPr>
        <w:t>施工企业应切实做到“专款专用”，按照公告精神和</w:t>
      </w:r>
      <w:r>
        <w:t>规范要求</w:t>
      </w:r>
      <w:r>
        <w:rPr>
          <w:rFonts w:hint="eastAsia"/>
        </w:rPr>
        <w:t>全面落实各项安全措施，并及时收集、整理、汇总形成收支台账备查。</w:t>
      </w:r>
    </w:p>
    <w:p>
      <w:pPr>
        <w:ind w:firstLine="560"/>
      </w:pPr>
      <w:r>
        <w:rPr>
          <w:rFonts w:hint="eastAsia"/>
        </w:rPr>
        <w:t>三、项目所在地工程</w:t>
      </w:r>
      <w:r>
        <w:t>安全监督</w:t>
      </w:r>
      <w:r>
        <w:rPr>
          <w:rFonts w:hint="eastAsia"/>
        </w:rPr>
        <w:t>机构</w:t>
      </w:r>
      <w:r>
        <w:t>应</w:t>
      </w:r>
      <w:r>
        <w:rPr>
          <w:rFonts w:hint="eastAsia"/>
        </w:rPr>
        <w:t>加强</w:t>
      </w:r>
      <w:r>
        <w:t>现场安全文明</w:t>
      </w:r>
      <w:r>
        <w:rPr>
          <w:rFonts w:hint="eastAsia"/>
        </w:rPr>
        <w:t>施工监督检查。检查采用抽查</w:t>
      </w:r>
      <w:r>
        <w:t>方式</w:t>
      </w:r>
      <w:r>
        <w:rPr>
          <w:rFonts w:hint="eastAsia"/>
        </w:rPr>
        <w:t>，抽查项目比例不低于</w:t>
      </w:r>
      <w:r>
        <w:t>20%</w:t>
      </w:r>
      <w:r>
        <w:rPr>
          <w:rFonts w:hint="eastAsia"/>
        </w:rPr>
        <w:t>，一般在工程进度到达</w:t>
      </w:r>
      <w:r>
        <w:t>20%</w:t>
      </w:r>
      <w:r>
        <w:rPr>
          <w:rFonts w:hint="eastAsia"/>
        </w:rPr>
        <w:t>或</w:t>
      </w:r>
      <w:r>
        <w:t>60%</w:t>
      </w:r>
      <w:r>
        <w:rPr>
          <w:rFonts w:hint="eastAsia"/>
        </w:rPr>
        <w:t>时进行抽查。</w:t>
      </w:r>
    </w:p>
    <w:p>
      <w:pPr>
        <w:ind w:firstLine="560"/>
      </w:pPr>
      <w:r>
        <w:rPr>
          <w:rFonts w:hint="eastAsia"/>
        </w:rPr>
        <w:t>四、监理企业应加强对施工现场安全文明施工措施情况的日常监督，对安全监督机构抽查、检查中发现的问题，应督促施工企业及时落实整改。</w:t>
      </w:r>
    </w:p>
    <w:p>
      <w:pPr>
        <w:ind w:firstLine="560"/>
      </w:pPr>
    </w:p>
    <w:p>
      <w:pPr>
        <w:ind w:firstLine="560"/>
      </w:pPr>
      <w:r>
        <w:rPr>
          <w:rFonts w:hint="eastAsia"/>
        </w:rPr>
        <w:t>附件：</w:t>
      </w:r>
      <w:r>
        <w:t>《省住房和城乡建设厅</w:t>
      </w:r>
      <w:r>
        <w:rPr>
          <w:rFonts w:hint="eastAsia"/>
        </w:rPr>
        <w:t>关于实施安全文明施工措施费动态计价管理的公告</w:t>
      </w:r>
      <w:r>
        <w:t>》</w:t>
      </w:r>
      <w:r>
        <w:rPr>
          <w:rFonts w:hint="eastAsia"/>
        </w:rPr>
        <w:t>（省厅公告〔20</w:t>
      </w:r>
      <w:r>
        <w:t>20</w:t>
      </w:r>
      <w:r>
        <w:rPr>
          <w:rFonts w:hint="eastAsia"/>
        </w:rPr>
        <w:t>〕第1</w:t>
      </w:r>
      <w:r>
        <w:t>1</w:t>
      </w:r>
      <w:r>
        <w:rPr>
          <w:rFonts w:hint="eastAsia"/>
        </w:rPr>
        <w:t>号）</w:t>
      </w:r>
    </w:p>
    <w:p>
      <w:pPr>
        <w:ind w:firstLine="560"/>
      </w:pPr>
    </w:p>
    <w:p>
      <w:pPr>
        <w:ind w:firstLine="560"/>
      </w:pPr>
    </w:p>
    <w:p>
      <w:pPr>
        <w:ind w:firstLine="560"/>
      </w:pPr>
    </w:p>
    <w:p>
      <w:pPr>
        <w:ind w:firstLine="560"/>
      </w:pPr>
    </w:p>
    <w:p>
      <w:pPr>
        <w:ind w:firstLine="560"/>
      </w:pPr>
    </w:p>
    <w:p>
      <w:pPr>
        <w:ind w:firstLine="560"/>
      </w:pPr>
    </w:p>
    <w:p>
      <w:pPr>
        <w:ind w:firstLine="3836" w:firstLineChars="1370"/>
      </w:pPr>
      <w:r>
        <w:rPr>
          <w:rFonts w:hint="eastAsia"/>
        </w:rPr>
        <w:t>苏州市住房和城乡建设局</w:t>
      </w:r>
    </w:p>
    <w:p>
      <w:pPr>
        <w:ind w:firstLine="4200" w:firstLineChars="1500"/>
      </w:pPr>
      <w:r>
        <w:rPr>
          <w:rFonts w:hint="eastAsia"/>
        </w:rPr>
        <w:t>20</w:t>
      </w:r>
      <w:r>
        <w:t>20</w:t>
      </w:r>
      <w:r>
        <w:rPr>
          <w:rFonts w:hint="eastAsia"/>
        </w:rPr>
        <w:t>年</w:t>
      </w:r>
      <w:r>
        <w:t>4</w:t>
      </w:r>
      <w:r>
        <w:rPr>
          <w:rFonts w:hint="eastAsia"/>
        </w:rPr>
        <w:t>月22日</w:t>
      </w:r>
    </w:p>
    <w:p>
      <w:pPr>
        <w:spacing w:line="460" w:lineRule="exact"/>
        <w:ind w:right="-266" w:rightChars="-95" w:firstLine="560"/>
        <w:jc w:val="right"/>
        <w:rPr>
          <w:rFonts w:ascii="仿宋_GB2312"/>
          <w:szCs w:val="32"/>
        </w:rPr>
      </w:pPr>
      <w:r>
        <w:rPr>
          <w:rFonts w:hint="eastAsia" w:ascii="仿宋_GB2312"/>
        </w:rPr>
        <w:t xml:space="preserve">   </w:t>
      </w:r>
    </w:p>
    <w:p>
      <w:pPr>
        <w:ind w:firstLine="560"/>
        <w:jc w:val="left"/>
      </w:pPr>
    </w:p>
    <w:p>
      <w:pPr>
        <w:ind w:firstLine="560"/>
        <w:jc w:val="left"/>
      </w:pPr>
    </w:p>
    <w:p>
      <w:pPr>
        <w:ind w:firstLine="560"/>
        <w:jc w:val="left"/>
      </w:pPr>
    </w:p>
    <w:p>
      <w:pPr>
        <w:ind w:firstLine="560"/>
        <w:jc w:val="left"/>
      </w:pPr>
    </w:p>
    <w:p>
      <w:pPr>
        <w:ind w:firstLine="560"/>
        <w:jc w:val="left"/>
      </w:pPr>
    </w:p>
    <w:p>
      <w:pPr>
        <w:ind w:firstLine="560"/>
        <w:jc w:val="left"/>
      </w:pPr>
    </w:p>
    <w:p>
      <w:pPr>
        <w:ind w:firstLine="560"/>
        <w:jc w:val="left"/>
      </w:pPr>
    </w:p>
    <w:p>
      <w:pPr>
        <w:ind w:firstLine="560"/>
        <w:jc w:val="left"/>
      </w:pPr>
    </w:p>
    <w:p>
      <w:pPr>
        <w:ind w:firstLine="560"/>
        <w:jc w:val="left"/>
      </w:pPr>
    </w:p>
    <w:p>
      <w:pPr>
        <w:pStyle w:val="2"/>
        <w:numPr>
          <w:ilvl w:val="0"/>
          <w:numId w:val="0"/>
        </w:numPr>
        <w:ind w:left="420"/>
      </w:pPr>
    </w:p>
    <w:p>
      <w:pPr>
        <w:ind w:firstLine="560"/>
        <w:jc w:val="left"/>
      </w:pPr>
    </w:p>
    <w:p>
      <w:pPr>
        <w:spacing w:line="240" w:lineRule="auto"/>
        <w:ind w:firstLine="560"/>
        <w:jc w:val="left"/>
      </w:pPr>
    </w:p>
    <w:p>
      <w:pPr>
        <w:spacing w:line="240" w:lineRule="auto"/>
        <w:ind w:firstLine="0" w:firstLineChars="0"/>
        <w:jc w:val="left"/>
      </w:pPr>
      <w:r>
        <w:rPr>
          <w:rFonts w:hint="eastAsia"/>
        </w:rPr>
        <w:t>附件：</w:t>
      </w:r>
    </w:p>
    <w:p>
      <w:pPr>
        <w:spacing w:line="240" w:lineRule="auto"/>
        <w:ind w:firstLine="0" w:firstLineChars="0"/>
        <w:jc w:val="center"/>
      </w:pPr>
      <w:r>
        <w:drawing>
          <wp:inline distT="0" distB="0" distL="0" distR="0">
            <wp:extent cx="5430520" cy="7626350"/>
            <wp:effectExtent l="0" t="0" r="17780" b="12700"/>
            <wp:docPr id="678531" name="图片 67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1" name="图片 678531"/>
                    <pic:cNvPicPr>
                      <a:picLocks noChangeAspect="1"/>
                    </pic:cNvPicPr>
                  </pic:nvPicPr>
                  <pic:blipFill>
                    <a:blip r:embed="rId81"/>
                    <a:srcRect l="6829" t="11067" r="11724" b="5447"/>
                    <a:stretch>
                      <a:fillRect/>
                    </a:stretch>
                  </pic:blipFill>
                  <pic:spPr>
                    <a:xfrm>
                      <a:off x="0" y="0"/>
                      <a:ext cx="5430520" cy="7626350"/>
                    </a:xfrm>
                    <a:prstGeom prst="rect">
                      <a:avLst/>
                    </a:prstGeom>
                  </pic:spPr>
                </pic:pic>
              </a:graphicData>
            </a:graphic>
          </wp:inline>
        </w:drawing>
      </w:r>
      <w:r>
        <w:drawing>
          <wp:inline distT="0" distB="0" distL="0" distR="0">
            <wp:extent cx="5504180" cy="8062595"/>
            <wp:effectExtent l="0" t="0" r="1270" b="14605"/>
            <wp:docPr id="678532" name="图片 67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2" name="图片 678532"/>
                    <pic:cNvPicPr>
                      <a:picLocks noChangeAspect="1"/>
                    </pic:cNvPicPr>
                  </pic:nvPicPr>
                  <pic:blipFill>
                    <a:blip r:embed="rId82"/>
                    <a:srcRect l="9813" t="8952" r="9780" b="7631"/>
                    <a:stretch>
                      <a:fillRect/>
                    </a:stretch>
                  </pic:blipFill>
                  <pic:spPr>
                    <a:xfrm>
                      <a:off x="0" y="0"/>
                      <a:ext cx="5504180" cy="8062595"/>
                    </a:xfrm>
                    <a:prstGeom prst="rect">
                      <a:avLst/>
                    </a:prstGeom>
                  </pic:spPr>
                </pic:pic>
              </a:graphicData>
            </a:graphic>
          </wp:inline>
        </w:drawing>
      </w:r>
      <w:r>
        <w:drawing>
          <wp:inline distT="0" distB="0" distL="0" distR="0">
            <wp:extent cx="5312410" cy="7965440"/>
            <wp:effectExtent l="0" t="0" r="2540" b="16510"/>
            <wp:docPr id="678533" name="图片 67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3" name="图片 678533"/>
                    <pic:cNvPicPr>
                      <a:picLocks noChangeAspect="1"/>
                    </pic:cNvPicPr>
                  </pic:nvPicPr>
                  <pic:blipFill>
                    <a:blip r:embed="rId83"/>
                    <a:srcRect l="10017" t="8966" r="10865" b="6881"/>
                    <a:stretch>
                      <a:fillRect/>
                    </a:stretch>
                  </pic:blipFill>
                  <pic:spPr>
                    <a:xfrm>
                      <a:off x="0" y="0"/>
                      <a:ext cx="5312410" cy="7965440"/>
                    </a:xfrm>
                    <a:prstGeom prst="rect">
                      <a:avLst/>
                    </a:prstGeom>
                  </pic:spPr>
                </pic:pic>
              </a:graphicData>
            </a:graphic>
          </wp:inline>
        </w:drawing>
      </w:r>
    </w:p>
    <w:p>
      <w:pPr>
        <w:spacing w:line="240" w:lineRule="auto"/>
        <w:ind w:firstLine="0" w:firstLineChars="0"/>
        <w:jc w:val="center"/>
      </w:pPr>
      <w:r>
        <w:drawing>
          <wp:inline distT="0" distB="0" distL="0" distR="0">
            <wp:extent cx="5289550" cy="7731125"/>
            <wp:effectExtent l="0" t="0" r="6350" b="3175"/>
            <wp:docPr id="678534" name="图片 67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34" name="图片 678534"/>
                    <pic:cNvPicPr>
                      <a:picLocks noChangeAspect="1"/>
                    </pic:cNvPicPr>
                  </pic:nvPicPr>
                  <pic:blipFill>
                    <a:blip r:embed="rId84"/>
                    <a:srcRect l="10243" t="7471" r="8717" b="8640"/>
                    <a:stretch>
                      <a:fillRect/>
                    </a:stretch>
                  </pic:blipFill>
                  <pic:spPr>
                    <a:xfrm>
                      <a:off x="0" y="0"/>
                      <a:ext cx="5289550" cy="7731125"/>
                    </a:xfrm>
                    <a:prstGeom prst="rect">
                      <a:avLst/>
                    </a:prstGeom>
                  </pic:spPr>
                </pic:pic>
              </a:graphicData>
            </a:graphic>
          </wp:inline>
        </w:drawing>
      </w:r>
    </w:p>
    <w:p>
      <w:pPr>
        <w:widowControl/>
        <w:ind w:firstLine="560"/>
        <w:jc w:val="left"/>
      </w:pPr>
      <w:r>
        <w:br w:type="page"/>
      </w:r>
    </w:p>
    <w:p>
      <w:pPr>
        <w:spacing w:line="540" w:lineRule="exact"/>
        <w:ind w:firstLine="560"/>
        <w:rPr>
          <w:rFonts w:ascii="仿宋_GB2312"/>
        </w:rPr>
      </w:pPr>
    </w:p>
    <w:p>
      <w:pPr>
        <w:spacing w:line="540" w:lineRule="exact"/>
        <w:ind w:firstLine="560"/>
        <w:rPr>
          <w:rFonts w:ascii="仿宋_GB2312"/>
        </w:rPr>
      </w:pPr>
      <w:r>
        <w:drawing>
          <wp:anchor distT="0" distB="0" distL="114300" distR="114300" simplePos="0" relativeHeight="251680768" behindDoc="1" locked="0" layoutInCell="1" allowOverlap="1">
            <wp:simplePos x="0" y="0"/>
            <wp:positionH relativeFrom="column">
              <wp:posOffset>-235585</wp:posOffset>
            </wp:positionH>
            <wp:positionV relativeFrom="paragraph">
              <wp:posOffset>165100</wp:posOffset>
            </wp:positionV>
            <wp:extent cx="6048375" cy="2229485"/>
            <wp:effectExtent l="0" t="0" r="0" b="18415"/>
            <wp:wrapNone/>
            <wp:docPr id="681233" name="图片 681233"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33" name="图片 681233"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9731" t="46682" r="10294"/>
                    <a:stretch>
                      <a:fillRect/>
                    </a:stretch>
                  </pic:blipFill>
                  <pic:spPr>
                    <a:xfrm>
                      <a:off x="0" y="0"/>
                      <a:ext cx="6048375" cy="2229485"/>
                    </a:xfrm>
                    <a:prstGeom prst="rect">
                      <a:avLst/>
                    </a:prstGeom>
                    <a:noFill/>
                    <a:ln>
                      <a:noFill/>
                    </a:ln>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205" w:name="_Toc9255"/>
      <w:bookmarkStart w:id="1206" w:name="_Toc3856"/>
      <w:bookmarkStart w:id="1207" w:name="_Toc22833"/>
      <w:bookmarkStart w:id="1208" w:name="_Toc23469"/>
      <w:bookmarkStart w:id="1209" w:name="_Toc12254"/>
      <w:bookmarkStart w:id="1210" w:name="_Toc9389"/>
      <w:bookmarkStart w:id="1211" w:name="_Toc2498"/>
      <w:r>
        <w:rPr>
          <w:rFonts w:hint="eastAsia"/>
        </w:rPr>
        <w:t>苏住建建〔2020〕19号</w:t>
      </w:r>
      <w:bookmarkEnd w:id="1205"/>
      <w:bookmarkEnd w:id="1206"/>
      <w:bookmarkEnd w:id="1207"/>
      <w:bookmarkEnd w:id="1208"/>
      <w:bookmarkEnd w:id="1209"/>
      <w:bookmarkEnd w:id="1210"/>
      <w:bookmarkEnd w:id="1211"/>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pPr>
      <w:bookmarkStart w:id="1212" w:name="_Toc5669"/>
      <w:bookmarkStart w:id="1213" w:name="_Toc21630"/>
      <w:bookmarkStart w:id="1214" w:name="_Toc25554"/>
      <w:bookmarkStart w:id="1215" w:name="_Toc32639"/>
      <w:bookmarkStart w:id="1216" w:name="_Toc20939"/>
      <w:bookmarkStart w:id="1217" w:name="_Toc27553"/>
      <w:bookmarkStart w:id="1218" w:name="_Toc31382"/>
      <w:bookmarkStart w:id="1219" w:name="_Toc17700"/>
      <w:bookmarkStart w:id="1220" w:name="_Toc15892"/>
      <w:bookmarkStart w:id="1221" w:name="_Toc3544"/>
      <w:bookmarkStart w:id="1222" w:name="_Toc4291"/>
      <w:bookmarkStart w:id="1223" w:name="_Toc31799"/>
      <w:bookmarkStart w:id="1224" w:name="_Toc26713"/>
      <w:bookmarkStart w:id="1225" w:name="_Toc16369"/>
      <w:r>
        <w:rPr>
          <w:rFonts w:hint="eastAsia"/>
        </w:rPr>
        <w:t>市住房城乡建设局关于印发《苏州市工程</w:t>
      </w:r>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p>
    <w:p>
      <w:pPr>
        <w:pStyle w:val="3"/>
      </w:pPr>
      <w:bookmarkStart w:id="1226" w:name="_Toc16539"/>
      <w:bookmarkStart w:id="1227" w:name="_Toc13623"/>
      <w:bookmarkStart w:id="1228" w:name="_Toc15139"/>
      <w:bookmarkStart w:id="1229" w:name="_Toc2029"/>
      <w:bookmarkStart w:id="1230" w:name="_Toc9760"/>
      <w:bookmarkStart w:id="1231" w:name="_Toc15068"/>
      <w:bookmarkStart w:id="1232" w:name="_Toc19362"/>
      <w:bookmarkStart w:id="1233" w:name="_Toc8709"/>
      <w:bookmarkStart w:id="1234" w:name="_Toc30522"/>
      <w:bookmarkStart w:id="1235" w:name="_Toc14937"/>
      <w:bookmarkStart w:id="1236" w:name="_Toc7999"/>
      <w:bookmarkStart w:id="1237" w:name="_Toc30804"/>
      <w:bookmarkStart w:id="1238" w:name="_Toc15026"/>
      <w:bookmarkStart w:id="1239" w:name="_Toc17743"/>
      <w:r>
        <w:rPr>
          <w:rFonts w:hint="eastAsia"/>
        </w:rPr>
        <w:t>造价咨询行业信用评价办法》的通知</w:t>
      </w:r>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p>
    <w:p>
      <w:pPr>
        <w:pStyle w:val="3"/>
      </w:pPr>
    </w:p>
    <w:p>
      <w:pPr>
        <w:ind w:firstLine="560"/>
      </w:pPr>
    </w:p>
    <w:p>
      <w:pPr>
        <w:ind w:firstLine="0" w:firstLineChars="0"/>
      </w:pPr>
      <w:r>
        <w:rPr>
          <w:rFonts w:hint="eastAsia"/>
        </w:rPr>
        <w:t>各市、区住建局（委），苏州工业园区规建委，各有关单位：</w:t>
      </w:r>
    </w:p>
    <w:p>
      <w:pPr>
        <w:ind w:firstLine="560"/>
      </w:pPr>
      <w:r>
        <w:rPr>
          <w:rFonts w:hint="eastAsia"/>
        </w:rPr>
        <w:t>现将《苏州市工程造价咨询行业信用评价办法》印发给你们，请认真贯彻落实。</w:t>
      </w:r>
    </w:p>
    <w:p>
      <w:pPr>
        <w:ind w:firstLine="560"/>
      </w:pPr>
    </w:p>
    <w:p>
      <w:pPr>
        <w:ind w:firstLine="560"/>
      </w:pPr>
    </w:p>
    <w:p>
      <w:pPr>
        <w:ind w:firstLine="560"/>
      </w:pPr>
    </w:p>
    <w:p>
      <w:pPr>
        <w:ind w:firstLine="3836" w:firstLineChars="1370"/>
      </w:pPr>
      <w:r>
        <w:rPr>
          <w:rFonts w:hint="eastAsia"/>
        </w:rPr>
        <w:t>苏州市住房和城乡建设局</w:t>
      </w:r>
    </w:p>
    <w:p>
      <w:pPr>
        <w:ind w:firstLine="4200" w:firstLineChars="1500"/>
      </w:pPr>
      <w:r>
        <w:rPr>
          <w:rFonts w:hint="eastAsia"/>
        </w:rPr>
        <w:t>2020年6月10日</w:t>
      </w:r>
    </w:p>
    <w:p>
      <w:pPr>
        <w:widowControl/>
        <w:spacing w:before="100" w:beforeAutospacing="1" w:after="100" w:afterAutospacing="1" w:line="420" w:lineRule="atLeast"/>
        <w:ind w:right="220" w:firstLine="880"/>
        <w:jc w:val="center"/>
        <w:rPr>
          <w:rFonts w:ascii="方正小标宋_GBK" w:hAnsi="宋体" w:eastAsia="方正小标宋_GBK" w:cs="宋体"/>
          <w:color w:val="000000"/>
          <w:kern w:val="0"/>
          <w:sz w:val="44"/>
          <w:szCs w:val="44"/>
        </w:rPr>
      </w:pPr>
    </w:p>
    <w:p>
      <w:pPr>
        <w:pStyle w:val="3"/>
      </w:pPr>
      <w:bookmarkStart w:id="1240" w:name="_Toc19850"/>
      <w:bookmarkStart w:id="1241" w:name="_Toc18893"/>
      <w:bookmarkStart w:id="1242" w:name="_Toc16284"/>
      <w:bookmarkStart w:id="1243" w:name="_Toc28687"/>
      <w:bookmarkStart w:id="1244" w:name="_Toc4896"/>
      <w:bookmarkStart w:id="1245" w:name="_Toc11231"/>
      <w:bookmarkStart w:id="1246" w:name="_Toc23651"/>
      <w:bookmarkStart w:id="1247" w:name="_Toc22939"/>
      <w:bookmarkStart w:id="1248" w:name="_Toc16472"/>
      <w:bookmarkStart w:id="1249" w:name="_Toc10192"/>
      <w:bookmarkStart w:id="1250" w:name="_Toc31830"/>
      <w:bookmarkStart w:id="1251" w:name="_Toc26219"/>
      <w:bookmarkStart w:id="1252" w:name="_Toc32069"/>
      <w:bookmarkStart w:id="1253" w:name="_Toc25830"/>
      <w:r>
        <w:rPr>
          <w:rFonts w:hint="eastAsia"/>
        </w:rPr>
        <w:t>苏州市工程造价咨询行业信用评价办法</w:t>
      </w:r>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p>
    <w:p>
      <w:pPr>
        <w:widowControl/>
        <w:spacing w:line="240" w:lineRule="auto"/>
        <w:ind w:firstLine="2800" w:firstLineChars="1000"/>
        <w:rPr>
          <w:rFonts w:ascii="黑体" w:hAnsi="黑体" w:eastAsia="黑体" w:cs="宋体"/>
          <w:color w:val="000000"/>
          <w:kern w:val="0"/>
          <w:szCs w:val="32"/>
        </w:rPr>
      </w:pPr>
    </w:p>
    <w:p>
      <w:pPr>
        <w:widowControl/>
        <w:spacing w:before="100" w:beforeAutospacing="1" w:after="100" w:afterAutospacing="1"/>
        <w:ind w:firstLine="0" w:firstLineChars="0"/>
        <w:jc w:val="center"/>
        <w:rPr>
          <w:rFonts w:ascii="黑体" w:hAnsi="黑体" w:eastAsia="黑体" w:cs="宋体"/>
          <w:color w:val="000000"/>
          <w:kern w:val="0"/>
          <w:szCs w:val="32"/>
        </w:rPr>
      </w:pPr>
      <w:r>
        <w:rPr>
          <w:rFonts w:hint="eastAsia" w:ascii="黑体" w:hAnsi="黑体" w:eastAsia="黑体" w:cs="宋体"/>
          <w:color w:val="000000"/>
          <w:kern w:val="0"/>
          <w:szCs w:val="32"/>
        </w:rPr>
        <w:t>第一章  总则</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第一条 </w:t>
      </w:r>
      <w:r>
        <w:rPr>
          <w:rFonts w:hint="eastAsia" w:ascii="仿宋_GB2312" w:hAnsi="仿宋_GB2312" w:cs="宋体"/>
          <w:color w:val="000000"/>
          <w:kern w:val="0"/>
          <w:szCs w:val="32"/>
        </w:rPr>
        <w:t>为建立健全</w:t>
      </w:r>
      <w:r>
        <w:rPr>
          <w:rFonts w:hint="eastAsia" w:ascii="仿宋_GB2312"/>
          <w:szCs w:val="32"/>
        </w:rPr>
        <w:t>本市</w:t>
      </w:r>
      <w:r>
        <w:rPr>
          <w:rFonts w:hint="eastAsia" w:ascii="仿宋_GB2312" w:hAnsi="仿宋_GB2312" w:cs="宋体"/>
          <w:color w:val="000000"/>
          <w:kern w:val="0"/>
          <w:szCs w:val="32"/>
        </w:rPr>
        <w:t>工程造价领域信用监管体系，</w:t>
      </w:r>
      <w:r>
        <w:rPr>
          <w:rFonts w:hint="eastAsia" w:ascii="仿宋_GB2312"/>
          <w:szCs w:val="32"/>
        </w:rPr>
        <w:t>规范工程造价咨询企业及注册造价工程师从业行为，加强行业自律，</w:t>
      </w:r>
      <w:r>
        <w:rPr>
          <w:rFonts w:hint="eastAsia" w:ascii="仿宋_GB2312" w:hAnsi="仿宋_GB2312" w:cs="宋体"/>
          <w:color w:val="000000"/>
          <w:kern w:val="0"/>
          <w:szCs w:val="32"/>
        </w:rPr>
        <w:t>促进行业健康有序发展，根据《工程造价咨询企业管理办法》、《注册造价工程师管理办法》等法规、规章，制定本办法。</w:t>
      </w:r>
    </w:p>
    <w:p>
      <w:pPr>
        <w:widowControl/>
        <w:ind w:firstLine="551" w:firstLineChars="196"/>
        <w:rPr>
          <w:rFonts w:ascii="仿宋_GB2312" w:hAnsi="仿宋_GB2312" w:cs="宋体"/>
          <w:b/>
          <w:color w:val="000000"/>
          <w:kern w:val="0"/>
          <w:szCs w:val="32"/>
        </w:rPr>
      </w:pPr>
      <w:r>
        <w:rPr>
          <w:rFonts w:hint="eastAsia" w:ascii="仿宋_GB2312" w:hAnsi="仿宋_GB2312" w:cs="宋体"/>
          <w:b/>
          <w:color w:val="000000"/>
          <w:kern w:val="0"/>
          <w:szCs w:val="32"/>
        </w:rPr>
        <w:t xml:space="preserve">第二条 </w:t>
      </w:r>
      <w:r>
        <w:rPr>
          <w:rFonts w:hint="eastAsia" w:ascii="仿宋_GB2312" w:hAnsi="仿宋_GB2312" w:cs="宋体"/>
          <w:color w:val="000000"/>
          <w:kern w:val="0"/>
          <w:szCs w:val="32"/>
        </w:rPr>
        <w:t>对本市行政区域内从事工程造价咨询业务活动的工程造价咨询企业</w:t>
      </w:r>
      <w:r>
        <w:rPr>
          <w:rFonts w:hint="eastAsia" w:ascii="仿宋_GB2312"/>
          <w:szCs w:val="32"/>
        </w:rPr>
        <w:t>及注册造价工程师开展信用评价信息的采集、公示、公布、认定、评价、使用及实施监督管理等工作，适用于本办法。</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第三条 </w:t>
      </w:r>
      <w:r>
        <w:rPr>
          <w:rFonts w:hint="eastAsia" w:ascii="仿宋_GB2312" w:hAnsi="仿宋_GB2312" w:cs="宋体"/>
          <w:color w:val="000000"/>
          <w:kern w:val="0"/>
          <w:szCs w:val="32"/>
        </w:rPr>
        <w:t>本办法所称工程造价咨询企业（以下简称：咨询企业），是指接受委托，对建设项目投资、工程造价的确定与控制提供专业咨询服务的企业。</w:t>
      </w:r>
    </w:p>
    <w:p>
      <w:pPr>
        <w:widowControl/>
        <w:ind w:firstLine="560"/>
        <w:rPr>
          <w:rFonts w:ascii="仿宋_GB2312" w:hAnsi="仿宋_GB2312" w:cs="宋体"/>
          <w:b/>
          <w:color w:val="000000"/>
          <w:kern w:val="0"/>
          <w:szCs w:val="32"/>
        </w:rPr>
      </w:pPr>
      <w:r>
        <w:rPr>
          <w:rFonts w:hint="eastAsia" w:ascii="仿宋_GB2312" w:hAnsi="宋体" w:cs="宋体"/>
          <w:kern w:val="0"/>
          <w:szCs w:val="32"/>
        </w:rPr>
        <w:t>本办法所称</w:t>
      </w:r>
      <w:r>
        <w:rPr>
          <w:rFonts w:hint="eastAsia" w:ascii="宋体" w:hAnsi="宋体" w:cs="宋体"/>
          <w:kern w:val="0"/>
          <w:szCs w:val="32"/>
        </w:rPr>
        <w:t>注册造价工程师</w:t>
      </w:r>
      <w:r>
        <w:rPr>
          <w:rFonts w:hint="eastAsia" w:ascii="仿宋_GB2312" w:hAnsi="仿宋_GB2312" w:cs="宋体"/>
          <w:color w:val="000000"/>
          <w:kern w:val="0"/>
          <w:szCs w:val="32"/>
        </w:rPr>
        <w:t>（以下简称：造价师）</w:t>
      </w:r>
      <w:r>
        <w:rPr>
          <w:rFonts w:hint="eastAsia" w:ascii="仿宋_GB2312" w:hAnsi="宋体" w:cs="宋体"/>
          <w:kern w:val="0"/>
          <w:szCs w:val="32"/>
        </w:rPr>
        <w:t>，是指通过造价工程师职业资格考试取得造价工程师职业资格证书或者通过资格认定、资格互认，且在</w:t>
      </w:r>
      <w:r>
        <w:rPr>
          <w:rFonts w:hint="eastAsia" w:ascii="仿宋_GB2312" w:hAnsi="仿宋_GB2312" w:cs="宋体"/>
          <w:color w:val="000000"/>
          <w:kern w:val="0"/>
          <w:szCs w:val="32"/>
        </w:rPr>
        <w:t>咨询企业</w:t>
      </w:r>
      <w:r>
        <w:rPr>
          <w:rFonts w:hint="eastAsia" w:ascii="仿宋_GB2312" w:hAnsi="宋体" w:cs="宋体"/>
          <w:kern w:val="0"/>
          <w:szCs w:val="32"/>
        </w:rPr>
        <w:t>注册的，从事工程造价活动的专业人员。</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 xml:space="preserve">第四条 </w:t>
      </w:r>
      <w:r>
        <w:rPr>
          <w:rFonts w:hint="eastAsia" w:ascii="仿宋_GB2312" w:hAnsi="仿宋_GB2312" w:cs="宋体"/>
          <w:color w:val="000000"/>
          <w:kern w:val="0"/>
          <w:szCs w:val="32"/>
        </w:rPr>
        <w:t>苏州市住房和城乡建设局负责全市咨询企业及造价师信用评价的组织、协调、管理工作，具体评价工作由苏州市工程造价管理处（以下简称：市造价处）负责实施。</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各市（区）建设行政主管部门负责本辖区内咨询企业及造价师的信息管理。</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第五条</w:t>
      </w:r>
      <w:r>
        <w:rPr>
          <w:rFonts w:hint="eastAsia" w:ascii="仿宋_GB2312" w:hAnsi="仿宋_GB2312" w:cs="宋体"/>
          <w:color w:val="000000"/>
          <w:kern w:val="0"/>
          <w:szCs w:val="32"/>
        </w:rPr>
        <w:t xml:space="preserve"> 本市行政区域内咨询企业及造价师信用评价工作，按照“统一标准、动态考核、有效运用”的原则，客观、公正、科学、有效地进行。</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各市（区）建设行政主管部门依照本办法，对辖区内咨询企业及造价师从事工程造价咨询的活动实施监督，切实做到公平、公正、公开，确保评价信息的完整性、准确性和及时性。</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 xml:space="preserve">第六条 </w:t>
      </w:r>
      <w:r>
        <w:rPr>
          <w:rFonts w:hint="eastAsia" w:ascii="仿宋_GB2312" w:hAnsi="仿宋_GB2312" w:cs="宋体"/>
          <w:color w:val="000000"/>
          <w:kern w:val="0"/>
          <w:szCs w:val="32"/>
        </w:rPr>
        <w:t>苏州市住房和城乡建设局建立“苏州市工程造价从业信用评价系统”（以下简称：评价系统），为全市咨询企业及造价师信用评价的统一平台。</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在本市行政区域内，开展工程造价咨询业务的咨询企业及造价师，均应在评价系统中实名信息登记，自行完成信息录入、动态维护和更新，确保信息完整准确、真实有效。</w:t>
      </w:r>
    </w:p>
    <w:p>
      <w:pPr>
        <w:widowControl/>
        <w:spacing w:before="240" w:beforeLines="100" w:after="240" w:afterLines="100"/>
        <w:ind w:firstLine="1680" w:firstLineChars="600"/>
        <w:rPr>
          <w:rFonts w:ascii="黑体" w:hAnsi="黑体" w:eastAsia="黑体" w:cs="宋体"/>
          <w:color w:val="000000"/>
          <w:kern w:val="0"/>
          <w:szCs w:val="32"/>
        </w:rPr>
      </w:pPr>
      <w:r>
        <w:rPr>
          <w:rFonts w:hint="eastAsia" w:ascii="黑体" w:hAnsi="黑体" w:eastAsia="黑体" w:cs="宋体"/>
          <w:color w:val="000000"/>
          <w:kern w:val="0"/>
          <w:szCs w:val="32"/>
        </w:rPr>
        <w:t>第二章 评价内容及信息采集发布</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第七条 </w:t>
      </w:r>
      <w:r>
        <w:rPr>
          <w:rFonts w:hint="eastAsia" w:ascii="仿宋_GB2312" w:hAnsi="仿宋_GB2312" w:cs="宋体"/>
          <w:color w:val="000000"/>
          <w:kern w:val="0"/>
          <w:szCs w:val="32"/>
        </w:rPr>
        <w:t>咨询企业的信用评价内容包括基本信息、综合检查、不良行为等方面。</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1.基本信息：专业人员结构、造价师信用评价、造价业务收入、纳税情况、服务评价、拓展业务能力、良好行为等。</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2.综合检查：对咨询企业的行为规范、咨询成果质量的各类检查等。</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3.不良行为：违反有关工程计价和工程建设的法律、法规、规章或者强制性标准和执业行为规范，被行政处罚的行为；法律、法规禁止的其他行为。</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第八条 </w:t>
      </w:r>
      <w:r>
        <w:rPr>
          <w:rFonts w:hint="eastAsia" w:ascii="仿宋_GB2312" w:hAnsi="仿宋_GB2312" w:cs="宋体"/>
          <w:color w:val="000000"/>
          <w:kern w:val="0"/>
          <w:szCs w:val="32"/>
        </w:rPr>
        <w:t>造价师的信用评价内容包括基本信息、综合检查、不良行为等方面。</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1.基本信息：执业资格、专业类型、职称等级、继续教育、服务评价、拓展业务能力、良好行为等。</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2.综合检查：对造价师的行为规范、咨询成果质量的各类检查等。</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3.不良行为：违反有关工程计价和工程建设的法律、法规、规章或者强制性标准和执业行为规范，被行政处罚的行为；法律、法规禁止的其他行为。</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第九条</w:t>
      </w:r>
      <w:r>
        <w:rPr>
          <w:rFonts w:hint="eastAsia" w:ascii="仿宋_GB2312" w:hAnsi="仿宋_GB2312" w:cs="宋体"/>
          <w:color w:val="000000"/>
          <w:kern w:val="0"/>
          <w:szCs w:val="32"/>
        </w:rPr>
        <w:t xml:space="preserve"> 不良行为认定依据：</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 xml:space="preserve">（一）已生效的判决书或仲裁裁决书；  </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 xml:space="preserve">（二）已生效的行政处罚决定书；  </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 xml:space="preserve">（三）各市（区）建设行政主管部门签发的责令整改通知书、通报批评等；  </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（四）经有关职能部门或机构查证并作出处理决定的文书；</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（五）法律、法规禁止的其他行为。</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第十条</w:t>
      </w:r>
      <w:r>
        <w:rPr>
          <w:rFonts w:hint="eastAsia" w:ascii="仿宋_GB2312" w:hAnsi="仿宋_GB2312" w:cs="宋体"/>
          <w:color w:val="000000"/>
          <w:kern w:val="0"/>
          <w:szCs w:val="32"/>
        </w:rPr>
        <w:t xml:space="preserve"> 良好行为，由咨询企业及造价师通过评价系统网上申报，并提交书面（原件）材料至市造价处审核确认。</w:t>
      </w:r>
    </w:p>
    <w:p>
      <w:pPr>
        <w:widowControl/>
        <w:ind w:firstLine="548" w:firstLineChars="196"/>
        <w:rPr>
          <w:rFonts w:ascii="仿宋_GB2312" w:hAnsi="仿宋_GB2312" w:cs="宋体"/>
          <w:color w:val="000000"/>
          <w:kern w:val="0"/>
          <w:szCs w:val="32"/>
        </w:rPr>
      </w:pPr>
      <w:r>
        <w:rPr>
          <w:rFonts w:hint="eastAsia" w:ascii="仿宋_GB2312" w:hAnsi="仿宋_GB2312" w:cs="宋体"/>
          <w:color w:val="000000"/>
          <w:kern w:val="0"/>
          <w:szCs w:val="32"/>
        </w:rPr>
        <w:t>不良行为，由行为发生地各市（区）建设行政主管部门负责采集、录入。</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第十一条 </w:t>
      </w:r>
      <w:r>
        <w:rPr>
          <w:rFonts w:hint="eastAsia" w:ascii="仿宋_GB2312" w:hAnsi="仿宋_GB2312" w:cs="宋体"/>
          <w:color w:val="000000"/>
          <w:kern w:val="0"/>
          <w:szCs w:val="32"/>
        </w:rPr>
        <w:t>信用评价信息采集、公开的时效：</w:t>
      </w:r>
    </w:p>
    <w:p>
      <w:pPr>
        <w:widowControl/>
        <w:ind w:firstLine="548" w:firstLineChars="196"/>
        <w:rPr>
          <w:rFonts w:ascii="仿宋_GB2312" w:hAnsi="仿宋_GB2312" w:cs="宋体"/>
          <w:color w:val="000000"/>
          <w:kern w:val="0"/>
          <w:szCs w:val="32"/>
        </w:rPr>
      </w:pPr>
      <w:r>
        <w:rPr>
          <w:rFonts w:hint="eastAsia" w:ascii="仿宋_GB2312" w:hAnsi="仿宋_GB2312" w:cs="宋体"/>
          <w:color w:val="000000"/>
          <w:kern w:val="0"/>
          <w:szCs w:val="32"/>
        </w:rPr>
        <w:t>1.造价业务收入、纳税情况、服务评价、拓展业务能力的信息有效期为一年，在有效期内给予核加信用分。</w:t>
      </w:r>
    </w:p>
    <w:p>
      <w:pPr>
        <w:widowControl/>
        <w:ind w:firstLine="548" w:firstLineChars="196"/>
        <w:rPr>
          <w:rFonts w:ascii="仿宋_GB2312" w:hAnsi="仿宋_GB2312" w:cs="宋体"/>
          <w:color w:val="000000"/>
          <w:kern w:val="0"/>
          <w:szCs w:val="32"/>
        </w:rPr>
      </w:pPr>
      <w:r>
        <w:rPr>
          <w:rFonts w:ascii="仿宋_GB2312" w:hAnsi="仿宋_GB2312" w:cs="宋体"/>
          <w:color w:val="000000"/>
          <w:kern w:val="0"/>
          <w:szCs w:val="32"/>
        </w:rPr>
        <w:t>2</w:t>
      </w:r>
      <w:r>
        <w:rPr>
          <w:rFonts w:hint="eastAsia" w:ascii="仿宋_GB2312" w:hAnsi="仿宋_GB2312" w:cs="宋体"/>
          <w:color w:val="000000"/>
          <w:kern w:val="0"/>
          <w:szCs w:val="32"/>
        </w:rPr>
        <w:t>.综合检查信息按</w:t>
      </w:r>
      <w:r>
        <w:rPr>
          <w:rFonts w:hint="eastAsia" w:ascii="仿宋_GB2312" w:hAnsi="华文楷体" w:cs="宋体"/>
          <w:bCs/>
          <w:color w:val="000000"/>
          <w:kern w:val="0"/>
          <w:szCs w:val="32"/>
        </w:rPr>
        <w:t>年度采集并更新，</w:t>
      </w:r>
      <w:r>
        <w:rPr>
          <w:rFonts w:hint="eastAsia" w:ascii="仿宋_GB2312" w:hAnsi="仿宋_GB2312" w:cs="宋体"/>
          <w:color w:val="000000"/>
          <w:kern w:val="0"/>
          <w:szCs w:val="32"/>
        </w:rPr>
        <w:t>有效期为一年，在有效期内给予核加信用分。</w:t>
      </w:r>
    </w:p>
    <w:p>
      <w:pPr>
        <w:widowControl/>
        <w:ind w:firstLine="548" w:firstLineChars="196"/>
        <w:rPr>
          <w:rFonts w:ascii="仿宋_GB2312" w:hAnsi="仿宋_GB2312" w:cs="宋体"/>
          <w:color w:val="000000"/>
          <w:kern w:val="0"/>
          <w:szCs w:val="32"/>
        </w:rPr>
      </w:pPr>
      <w:r>
        <w:rPr>
          <w:rFonts w:ascii="仿宋_GB2312" w:hAnsi="仿宋_GB2312" w:cs="宋体"/>
          <w:color w:val="000000"/>
          <w:kern w:val="0"/>
          <w:szCs w:val="32"/>
        </w:rPr>
        <w:t>3</w:t>
      </w:r>
      <w:r>
        <w:rPr>
          <w:rFonts w:hint="eastAsia" w:ascii="仿宋_GB2312" w:hAnsi="仿宋_GB2312" w:cs="宋体"/>
          <w:color w:val="000000"/>
          <w:kern w:val="0"/>
          <w:szCs w:val="32"/>
        </w:rPr>
        <w:t>.良好行为信息和不良行为信息公开期限根据行为性质确定。良好行为信息有效期一年，不良行为信息有效期三个月至一年。在有效期内给予加（扣）信用分。</w:t>
      </w:r>
    </w:p>
    <w:p>
      <w:pPr>
        <w:widowControl/>
        <w:ind w:firstLine="548" w:firstLineChars="196"/>
        <w:rPr>
          <w:rFonts w:ascii="仿宋_GB2312" w:hAnsi="仿宋_GB2312" w:cs="宋体"/>
          <w:color w:val="000000"/>
          <w:kern w:val="0"/>
          <w:szCs w:val="32"/>
        </w:rPr>
      </w:pPr>
      <w:r>
        <w:rPr>
          <w:rFonts w:ascii="仿宋_GB2312" w:hAnsi="仿宋_GB2312" w:cs="宋体"/>
          <w:color w:val="000000"/>
          <w:kern w:val="0"/>
          <w:szCs w:val="32"/>
        </w:rPr>
        <w:t>4</w:t>
      </w:r>
      <w:r>
        <w:rPr>
          <w:rFonts w:hint="eastAsia" w:ascii="仿宋_GB2312" w:hAnsi="仿宋_GB2312" w:cs="宋体"/>
          <w:color w:val="000000"/>
          <w:kern w:val="0"/>
          <w:szCs w:val="32"/>
        </w:rPr>
        <w:t>.不良行为信息在“评价系统”中保存期限为三年，自不良行为或者事件认定之日起计算，保存期限届满后，“评价系统”对有关信息自动更新。法律、法规另有规定的除外。</w:t>
      </w:r>
    </w:p>
    <w:p>
      <w:pPr>
        <w:widowControl/>
        <w:ind w:firstLine="548" w:firstLineChars="196"/>
        <w:rPr>
          <w:rFonts w:ascii="仿宋_GB2312" w:hAnsi="仿宋_GB2312" w:cs="宋体"/>
          <w:color w:val="000000"/>
          <w:kern w:val="0"/>
          <w:szCs w:val="32"/>
        </w:rPr>
      </w:pPr>
      <w:r>
        <w:rPr>
          <w:rFonts w:ascii="仿宋_GB2312" w:hAnsi="仿宋_GB2312" w:cs="宋体"/>
          <w:color w:val="000000"/>
          <w:kern w:val="0"/>
          <w:szCs w:val="32"/>
        </w:rPr>
        <w:t>5</w:t>
      </w:r>
      <w:r>
        <w:rPr>
          <w:rFonts w:hint="eastAsia" w:ascii="仿宋_GB2312" w:hAnsi="仿宋_GB2312" w:cs="宋体"/>
          <w:color w:val="000000"/>
          <w:kern w:val="0"/>
          <w:szCs w:val="32"/>
        </w:rPr>
        <w:t>.行政处罚决定及其他不良行为变更或撤销，应及时变更或删除不良信息记录。</w:t>
      </w:r>
    </w:p>
    <w:p>
      <w:pPr>
        <w:widowControl/>
        <w:ind w:firstLine="548" w:firstLineChars="196"/>
        <w:rPr>
          <w:rFonts w:ascii="仿宋_GB2312" w:hAnsi="仿宋_GB2312" w:cs="宋体"/>
          <w:color w:val="000000"/>
          <w:kern w:val="0"/>
          <w:szCs w:val="32"/>
        </w:rPr>
      </w:pPr>
      <w:r>
        <w:rPr>
          <w:rFonts w:ascii="仿宋_GB2312" w:hAnsi="仿宋_GB2312" w:cs="宋体"/>
          <w:color w:val="000000"/>
          <w:kern w:val="0"/>
          <w:szCs w:val="32"/>
        </w:rPr>
        <w:t>6</w:t>
      </w:r>
      <w:r>
        <w:rPr>
          <w:rFonts w:hint="eastAsia" w:ascii="仿宋_GB2312" w:hAnsi="仿宋_GB2312" w:cs="宋体"/>
          <w:color w:val="000000"/>
          <w:kern w:val="0"/>
          <w:szCs w:val="32"/>
        </w:rPr>
        <w:t>.其他信息随时更新，长期公开。</w:t>
      </w:r>
    </w:p>
    <w:p>
      <w:pPr>
        <w:widowControl/>
        <w:ind w:firstLine="551" w:firstLineChars="196"/>
        <w:rPr>
          <w:rFonts w:ascii="仿宋_GB2312" w:hAnsi="宋体" w:cs="宋体"/>
          <w:color w:val="000000"/>
          <w:kern w:val="0"/>
          <w:szCs w:val="32"/>
        </w:rPr>
      </w:pPr>
      <w:r>
        <w:rPr>
          <w:rFonts w:hint="eastAsia" w:ascii="仿宋_GB2312" w:hAnsi="仿宋_GB2312" w:cs="宋体"/>
          <w:b/>
          <w:color w:val="000000"/>
          <w:kern w:val="0"/>
          <w:szCs w:val="32"/>
        </w:rPr>
        <w:t xml:space="preserve">第十二条 </w:t>
      </w:r>
      <w:r>
        <w:rPr>
          <w:rFonts w:hint="eastAsia" w:ascii="仿宋_GB2312"/>
          <w:szCs w:val="32"/>
        </w:rPr>
        <w:t>“评价系统”实施动态监管，自动统计，每个月公布咨询企业及造价师的信用评价分和排名，</w:t>
      </w:r>
      <w:r>
        <w:rPr>
          <w:rFonts w:hint="eastAsia" w:ascii="仿宋_GB2312" w:hAnsi="宋体" w:cs="宋体"/>
          <w:color w:val="000000"/>
          <w:kern w:val="0"/>
          <w:szCs w:val="32"/>
        </w:rPr>
        <w:t>任何单位和个人均可登陆“评价系统”查询。</w:t>
      </w:r>
      <w:r>
        <w:rPr>
          <w:rFonts w:hint="eastAsia" w:ascii="仿宋_GB2312" w:hAnsi="仿宋_GB2312" w:cs="宋体"/>
          <w:color w:val="000000"/>
          <w:kern w:val="0"/>
          <w:szCs w:val="32"/>
        </w:rPr>
        <w:t>各市（区）不再另外设定信用评价。</w:t>
      </w:r>
    </w:p>
    <w:p>
      <w:pPr>
        <w:widowControl/>
        <w:ind w:firstLine="551" w:firstLineChars="196"/>
        <w:rPr>
          <w:rFonts w:ascii="仿宋_GB2312"/>
          <w:szCs w:val="32"/>
        </w:rPr>
      </w:pPr>
      <w:r>
        <w:rPr>
          <w:rFonts w:hint="eastAsia" w:ascii="仿宋_GB2312" w:hAnsi="仿宋_GB2312" w:cs="宋体"/>
          <w:b/>
          <w:color w:val="000000"/>
          <w:kern w:val="0"/>
          <w:szCs w:val="32"/>
        </w:rPr>
        <w:t xml:space="preserve">第十三条 </w:t>
      </w:r>
      <w:r>
        <w:rPr>
          <w:rFonts w:hint="eastAsia" w:ascii="仿宋_GB2312"/>
          <w:szCs w:val="32"/>
        </w:rPr>
        <w:t>异议信息申诉与复核：</w:t>
      </w:r>
    </w:p>
    <w:p>
      <w:pPr>
        <w:widowControl/>
        <w:ind w:firstLine="548" w:firstLineChars="196"/>
        <w:rPr>
          <w:rFonts w:ascii="仿宋_GB2312"/>
          <w:szCs w:val="32"/>
        </w:rPr>
      </w:pPr>
      <w:r>
        <w:rPr>
          <w:rFonts w:ascii="仿宋_GB2312"/>
          <w:szCs w:val="32"/>
        </w:rPr>
        <w:t>1</w:t>
      </w:r>
      <w:r>
        <w:rPr>
          <w:rFonts w:hint="eastAsia" w:ascii="仿宋_GB2312"/>
          <w:szCs w:val="32"/>
        </w:rPr>
        <w:t>.咨询企业及造价师对其行为信息提出异议的，应当在信息公布之日起</w:t>
      </w:r>
      <w:r>
        <w:rPr>
          <w:rFonts w:ascii="仿宋_GB2312"/>
          <w:szCs w:val="32"/>
        </w:rPr>
        <w:t>7</w:t>
      </w:r>
      <w:r>
        <w:rPr>
          <w:rFonts w:hint="eastAsia" w:ascii="仿宋_GB2312"/>
          <w:szCs w:val="32"/>
        </w:rPr>
        <w:t>个工作日内，在网上填报申诉的相关内容及联系方式，并将相关证明材料原件一次性提交市造价处。</w:t>
      </w:r>
    </w:p>
    <w:p>
      <w:pPr>
        <w:widowControl/>
        <w:ind w:firstLine="548" w:firstLineChars="196"/>
        <w:rPr>
          <w:rFonts w:ascii="仿宋_GB2312" w:hAnsi="仿宋_GB2312" w:cs="宋体"/>
          <w:color w:val="000000"/>
          <w:kern w:val="0"/>
          <w:szCs w:val="32"/>
        </w:rPr>
      </w:pPr>
      <w:r>
        <w:rPr>
          <w:rFonts w:hint="eastAsia" w:ascii="仿宋_GB2312"/>
          <w:szCs w:val="32"/>
        </w:rPr>
        <w:t>2.市造价处应对异议信息进行核实，并在收到证明材料原件之日起7个工作日内作出处理。</w:t>
      </w:r>
    </w:p>
    <w:p>
      <w:pPr>
        <w:widowControl/>
        <w:spacing w:before="240" w:beforeLines="100" w:after="240" w:afterLines="100"/>
        <w:ind w:firstLine="2228" w:firstLineChars="796"/>
        <w:rPr>
          <w:rFonts w:ascii="黑体" w:hAnsi="黑体" w:eastAsia="黑体" w:cs="宋体"/>
          <w:color w:val="000000"/>
          <w:kern w:val="0"/>
          <w:szCs w:val="32"/>
        </w:rPr>
      </w:pPr>
      <w:r>
        <w:rPr>
          <w:rFonts w:hint="eastAsia" w:ascii="黑体" w:hAnsi="黑体" w:eastAsia="黑体" w:cs="宋体"/>
          <w:color w:val="000000"/>
          <w:kern w:val="0"/>
          <w:szCs w:val="32"/>
        </w:rPr>
        <w:t>第三章  评价结果及应用</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 xml:space="preserve">第十四条 </w:t>
      </w:r>
      <w:r>
        <w:rPr>
          <w:rFonts w:hint="eastAsia" w:ascii="仿宋_GB2312" w:hAnsi="仿宋_GB2312" w:cs="宋体"/>
          <w:color w:val="000000"/>
          <w:kern w:val="0"/>
          <w:szCs w:val="32"/>
        </w:rPr>
        <w:t>信用评价采用积分制，由基本信息分、综合检查分和不良行为扣分三部分组成，根据量化的评价标准打分。具体分值分布见附件一《苏州市工程造价咨询企业信用评价评分标准》、附件二《苏州市注册造价工程师信用评价评分标准》。</w:t>
      </w:r>
    </w:p>
    <w:p>
      <w:pPr>
        <w:widowControl/>
        <w:ind w:firstLine="551" w:firstLineChars="196"/>
        <w:rPr>
          <w:rFonts w:ascii="仿宋_GB2312" w:hAnsi="宋体" w:cs="宋体"/>
          <w:kern w:val="0"/>
          <w:szCs w:val="32"/>
        </w:rPr>
      </w:pPr>
      <w:r>
        <w:rPr>
          <w:rFonts w:hint="eastAsia" w:ascii="仿宋_GB2312" w:hAnsi="仿宋_GB2312" w:cs="宋体"/>
          <w:b/>
          <w:color w:val="000000"/>
          <w:kern w:val="0"/>
          <w:szCs w:val="32"/>
        </w:rPr>
        <w:t xml:space="preserve">第十五条 </w:t>
      </w:r>
      <w:r>
        <w:rPr>
          <w:rFonts w:hint="eastAsia" w:ascii="仿宋_GB2312" w:hAnsi="宋体" w:cs="宋体"/>
          <w:kern w:val="0"/>
          <w:szCs w:val="32"/>
        </w:rPr>
        <w:t>信用评价分将作为本市造价咨询企业招标投标、评优评先的参考依据。</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第十六条 </w:t>
      </w:r>
      <w:r>
        <w:rPr>
          <w:rFonts w:hint="eastAsia" w:ascii="仿宋_GB2312"/>
          <w:szCs w:val="32"/>
        </w:rPr>
        <w:t>根据信用评价分对咨询企业及造价师实行差别化监督管理：</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1.</w:t>
      </w:r>
      <w:r>
        <w:rPr>
          <w:rFonts w:ascii="仿宋_GB2312" w:hAnsi="仿宋_GB2312" w:cs="宋体"/>
          <w:color w:val="000000"/>
          <w:kern w:val="0"/>
          <w:szCs w:val="32"/>
        </w:rPr>
        <w:t>90</w:t>
      </w:r>
      <w:r>
        <w:rPr>
          <w:rFonts w:hint="eastAsia" w:ascii="仿宋_GB2312" w:hAnsi="仿宋_GB2312" w:cs="宋体"/>
          <w:color w:val="000000"/>
          <w:kern w:val="0"/>
          <w:szCs w:val="32"/>
        </w:rPr>
        <w:t>分</w:t>
      </w:r>
      <w:r>
        <w:rPr>
          <w:rFonts w:hint="eastAsia" w:ascii="仿宋_GB2312"/>
          <w:szCs w:val="32"/>
        </w:rPr>
        <w:t>（含）以上的</w:t>
      </w:r>
      <w:r>
        <w:rPr>
          <w:rFonts w:hint="eastAsia" w:ascii="仿宋_GB2312" w:hAnsi="仿宋_GB2312" w:cs="宋体"/>
          <w:color w:val="000000"/>
          <w:kern w:val="0"/>
          <w:szCs w:val="32"/>
        </w:rPr>
        <w:t>，优先推荐各类</w:t>
      </w:r>
      <w:r>
        <w:rPr>
          <w:rFonts w:hint="eastAsia" w:ascii="仿宋_GB2312" w:hAnsi="宋体" w:cs="宋体"/>
          <w:kern w:val="0"/>
          <w:szCs w:val="32"/>
        </w:rPr>
        <w:t>评优评先</w:t>
      </w:r>
      <w:r>
        <w:rPr>
          <w:rFonts w:hint="eastAsia" w:ascii="仿宋_GB2312" w:hAnsi="仿宋_GB2312" w:cs="宋体"/>
          <w:color w:val="000000"/>
          <w:kern w:val="0"/>
          <w:szCs w:val="32"/>
        </w:rPr>
        <w:t>活动，合理减少各类抽查频次，优选承接重大项目。</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2.7</w:t>
      </w:r>
      <w:r>
        <w:rPr>
          <w:rFonts w:ascii="仿宋_GB2312" w:hAnsi="仿宋_GB2312" w:cs="宋体"/>
          <w:color w:val="000000"/>
          <w:kern w:val="0"/>
          <w:szCs w:val="32"/>
        </w:rPr>
        <w:t>0</w:t>
      </w:r>
      <w:r>
        <w:rPr>
          <w:rFonts w:hint="eastAsia" w:ascii="仿宋_GB2312" w:hAnsi="仿宋_GB2312" w:cs="宋体"/>
          <w:color w:val="000000"/>
          <w:kern w:val="0"/>
          <w:szCs w:val="32"/>
        </w:rPr>
        <w:t>分--</w:t>
      </w:r>
      <w:r>
        <w:rPr>
          <w:rFonts w:ascii="仿宋_GB2312" w:hAnsi="仿宋_GB2312" w:cs="宋体"/>
          <w:color w:val="000000"/>
          <w:kern w:val="0"/>
          <w:szCs w:val="32"/>
        </w:rPr>
        <w:t>89</w:t>
      </w:r>
      <w:r>
        <w:rPr>
          <w:rFonts w:hint="eastAsia" w:ascii="仿宋_GB2312" w:hAnsi="仿宋_GB2312" w:cs="宋体"/>
          <w:color w:val="000000"/>
          <w:kern w:val="0"/>
          <w:szCs w:val="32"/>
        </w:rPr>
        <w:t>分</w:t>
      </w:r>
      <w:r>
        <w:rPr>
          <w:rFonts w:hint="eastAsia" w:ascii="仿宋_GB2312"/>
          <w:szCs w:val="32"/>
        </w:rPr>
        <w:t>（含）</w:t>
      </w:r>
      <w:r>
        <w:rPr>
          <w:rFonts w:hint="eastAsia" w:ascii="仿宋_GB2312" w:hAnsi="仿宋_GB2312" w:cs="宋体"/>
          <w:color w:val="000000"/>
          <w:kern w:val="0"/>
          <w:szCs w:val="32"/>
        </w:rPr>
        <w:t>的，具有参加各类</w:t>
      </w:r>
      <w:r>
        <w:rPr>
          <w:rFonts w:hint="eastAsia" w:ascii="仿宋_GB2312" w:hAnsi="宋体" w:cs="宋体"/>
          <w:kern w:val="0"/>
          <w:szCs w:val="32"/>
        </w:rPr>
        <w:t>评优评先</w:t>
      </w:r>
      <w:r>
        <w:rPr>
          <w:rFonts w:hint="eastAsia" w:ascii="仿宋_GB2312" w:hAnsi="仿宋_GB2312" w:cs="宋体"/>
          <w:color w:val="000000"/>
          <w:kern w:val="0"/>
          <w:szCs w:val="32"/>
        </w:rPr>
        <w:t>资格，对其进行日常监管并提供相应的引导和支持。</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3.6</w:t>
      </w:r>
      <w:r>
        <w:rPr>
          <w:rFonts w:ascii="仿宋_GB2312" w:hAnsi="仿宋_GB2312" w:cs="宋体"/>
          <w:color w:val="000000"/>
          <w:kern w:val="0"/>
          <w:szCs w:val="32"/>
        </w:rPr>
        <w:t>0</w:t>
      </w:r>
      <w:r>
        <w:rPr>
          <w:rFonts w:hint="eastAsia" w:ascii="仿宋_GB2312" w:hAnsi="仿宋_GB2312" w:cs="宋体"/>
          <w:color w:val="000000"/>
          <w:kern w:val="0"/>
          <w:szCs w:val="32"/>
        </w:rPr>
        <w:t>分--</w:t>
      </w:r>
      <w:r>
        <w:rPr>
          <w:rFonts w:ascii="仿宋_GB2312" w:hAnsi="仿宋_GB2312" w:cs="宋体"/>
          <w:color w:val="000000"/>
          <w:kern w:val="0"/>
          <w:szCs w:val="32"/>
        </w:rPr>
        <w:t>69</w:t>
      </w:r>
      <w:r>
        <w:rPr>
          <w:rFonts w:hint="eastAsia" w:ascii="仿宋_GB2312" w:hAnsi="仿宋_GB2312" w:cs="宋体"/>
          <w:color w:val="000000"/>
          <w:kern w:val="0"/>
          <w:szCs w:val="32"/>
        </w:rPr>
        <w:t>分</w:t>
      </w:r>
      <w:r>
        <w:rPr>
          <w:rFonts w:hint="eastAsia" w:ascii="仿宋_GB2312"/>
          <w:szCs w:val="32"/>
        </w:rPr>
        <w:t>（含）</w:t>
      </w:r>
      <w:r>
        <w:rPr>
          <w:rFonts w:hint="eastAsia" w:ascii="仿宋_GB2312" w:hAnsi="仿宋_GB2312" w:cs="宋体"/>
          <w:color w:val="000000"/>
          <w:kern w:val="0"/>
          <w:szCs w:val="32"/>
        </w:rPr>
        <w:t>的，不得参加各类评优</w:t>
      </w:r>
      <w:r>
        <w:rPr>
          <w:rFonts w:hint="eastAsia" w:ascii="仿宋_GB2312" w:hAnsi="宋体" w:cs="宋体"/>
          <w:kern w:val="0"/>
          <w:szCs w:val="32"/>
        </w:rPr>
        <w:t>评先</w:t>
      </w:r>
      <w:r>
        <w:rPr>
          <w:rFonts w:hint="eastAsia" w:ascii="仿宋_GB2312" w:hAnsi="仿宋_GB2312" w:cs="宋体"/>
          <w:color w:val="000000"/>
          <w:kern w:val="0"/>
          <w:szCs w:val="32"/>
        </w:rPr>
        <w:t>，列为重点监督检查对象，适当增加检查频次。</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4.6</w:t>
      </w:r>
      <w:r>
        <w:rPr>
          <w:rFonts w:ascii="仿宋_GB2312" w:hAnsi="仿宋_GB2312" w:cs="宋体"/>
          <w:color w:val="000000"/>
          <w:kern w:val="0"/>
          <w:szCs w:val="32"/>
        </w:rPr>
        <w:t>0</w:t>
      </w:r>
      <w:r>
        <w:rPr>
          <w:rFonts w:hint="eastAsia" w:ascii="仿宋_GB2312" w:hAnsi="仿宋_GB2312" w:cs="宋体"/>
          <w:color w:val="000000"/>
          <w:kern w:val="0"/>
          <w:szCs w:val="32"/>
        </w:rPr>
        <w:t>分以下的，限期三个月整改，整改不到位的，列入“失信企业”、“失信人员”名单。</w:t>
      </w:r>
    </w:p>
    <w:p>
      <w:pPr>
        <w:widowControl/>
        <w:ind w:firstLine="562"/>
        <w:rPr>
          <w:rFonts w:ascii="仿宋_GB2312"/>
          <w:szCs w:val="32"/>
        </w:rPr>
      </w:pPr>
      <w:r>
        <w:rPr>
          <w:rFonts w:hint="eastAsia" w:ascii="仿宋_GB2312" w:hAnsi="仿宋_GB2312" w:cs="宋体"/>
          <w:b/>
          <w:color w:val="000000"/>
          <w:kern w:val="0"/>
          <w:szCs w:val="32"/>
        </w:rPr>
        <w:t xml:space="preserve">第十七条 </w:t>
      </w:r>
      <w:r>
        <w:rPr>
          <w:rFonts w:hint="eastAsia" w:ascii="仿宋" w:hAnsi="仿宋" w:eastAsia="仿宋"/>
          <w:szCs w:val="32"/>
        </w:rPr>
        <w:t>根据</w:t>
      </w:r>
      <w:r>
        <w:rPr>
          <w:rFonts w:hint="eastAsia" w:ascii="仿宋_GB2312"/>
          <w:szCs w:val="32"/>
        </w:rPr>
        <w:t>信用评价分，对造价师承担咨询</w:t>
      </w:r>
      <w:r>
        <w:rPr>
          <w:rFonts w:hint="eastAsia" w:ascii="仿宋" w:hAnsi="仿宋" w:eastAsia="仿宋"/>
          <w:szCs w:val="32"/>
        </w:rPr>
        <w:t>项目</w:t>
      </w:r>
      <w:r>
        <w:rPr>
          <w:rFonts w:hint="eastAsia" w:ascii="仿宋_GB2312"/>
          <w:szCs w:val="32"/>
        </w:rPr>
        <w:t>的数量实行差别化监督管理：</w:t>
      </w:r>
    </w:p>
    <w:p>
      <w:pPr>
        <w:widowControl/>
        <w:ind w:firstLine="560"/>
        <w:rPr>
          <w:rFonts w:ascii="仿宋" w:hAnsi="仿宋" w:eastAsia="仿宋"/>
          <w:szCs w:val="32"/>
        </w:rPr>
      </w:pPr>
      <w:r>
        <w:rPr>
          <w:rFonts w:hint="eastAsia" w:ascii="仿宋_GB2312" w:hAnsi="仿宋_GB2312" w:cs="宋体"/>
          <w:color w:val="000000"/>
          <w:kern w:val="0"/>
          <w:szCs w:val="32"/>
        </w:rPr>
        <w:t>1.</w:t>
      </w:r>
      <w:r>
        <w:rPr>
          <w:rFonts w:ascii="仿宋_GB2312" w:hAnsi="仿宋_GB2312" w:cs="宋体"/>
          <w:color w:val="000000"/>
          <w:kern w:val="0"/>
          <w:szCs w:val="32"/>
        </w:rPr>
        <w:t>90</w:t>
      </w:r>
      <w:r>
        <w:rPr>
          <w:rFonts w:hint="eastAsia" w:ascii="仿宋_GB2312" w:hAnsi="仿宋_GB2312" w:cs="宋体"/>
          <w:color w:val="000000"/>
          <w:kern w:val="0"/>
          <w:szCs w:val="32"/>
        </w:rPr>
        <w:t>分</w:t>
      </w:r>
      <w:r>
        <w:rPr>
          <w:rFonts w:hint="eastAsia" w:ascii="仿宋_GB2312"/>
          <w:szCs w:val="32"/>
        </w:rPr>
        <w:t>（含）以上的</w:t>
      </w:r>
      <w:r>
        <w:rPr>
          <w:rFonts w:hint="eastAsia" w:ascii="仿宋_GB2312" w:hAnsi="仿宋_GB2312" w:cs="宋体"/>
          <w:color w:val="000000"/>
          <w:kern w:val="0"/>
          <w:szCs w:val="32"/>
        </w:rPr>
        <w:t>，可同时承担</w:t>
      </w:r>
      <w:r>
        <w:rPr>
          <w:rFonts w:ascii="仿宋_GB2312" w:hAnsi="仿宋_GB2312" w:cs="宋体"/>
          <w:color w:val="000000"/>
          <w:kern w:val="0"/>
          <w:szCs w:val="32"/>
        </w:rPr>
        <w:t>5</w:t>
      </w:r>
      <w:r>
        <w:rPr>
          <w:rFonts w:hint="eastAsia" w:ascii="仿宋_GB2312" w:hAnsi="仿宋_GB2312" w:cs="宋体"/>
          <w:color w:val="000000"/>
          <w:kern w:val="0"/>
          <w:szCs w:val="32"/>
        </w:rPr>
        <w:t>个</w:t>
      </w:r>
      <w:r>
        <w:rPr>
          <w:rFonts w:hint="eastAsia" w:ascii="仿宋" w:hAnsi="仿宋" w:eastAsia="仿宋"/>
          <w:szCs w:val="32"/>
        </w:rPr>
        <w:t>项目。</w:t>
      </w:r>
    </w:p>
    <w:p>
      <w:pPr>
        <w:widowControl/>
        <w:ind w:firstLine="560"/>
        <w:rPr>
          <w:rFonts w:ascii="仿宋" w:hAnsi="仿宋" w:eastAsia="仿宋"/>
          <w:szCs w:val="32"/>
        </w:rPr>
      </w:pPr>
      <w:r>
        <w:rPr>
          <w:rFonts w:hint="eastAsia" w:ascii="仿宋_GB2312" w:hAnsi="仿宋_GB2312" w:cs="宋体"/>
          <w:color w:val="000000"/>
          <w:kern w:val="0"/>
          <w:szCs w:val="32"/>
        </w:rPr>
        <w:t>2.</w:t>
      </w:r>
      <w:r>
        <w:rPr>
          <w:rFonts w:ascii="仿宋_GB2312" w:hAnsi="仿宋_GB2312" w:cs="宋体"/>
          <w:color w:val="000000"/>
          <w:kern w:val="0"/>
          <w:szCs w:val="32"/>
        </w:rPr>
        <w:t>80</w:t>
      </w:r>
      <w:r>
        <w:rPr>
          <w:rFonts w:hint="eastAsia" w:ascii="仿宋_GB2312" w:hAnsi="仿宋_GB2312" w:cs="宋体"/>
          <w:color w:val="000000"/>
          <w:kern w:val="0"/>
          <w:szCs w:val="32"/>
        </w:rPr>
        <w:t>分--</w:t>
      </w:r>
      <w:r>
        <w:rPr>
          <w:rFonts w:ascii="仿宋_GB2312" w:hAnsi="仿宋_GB2312" w:cs="宋体"/>
          <w:color w:val="000000"/>
          <w:kern w:val="0"/>
          <w:szCs w:val="32"/>
        </w:rPr>
        <w:t>89</w:t>
      </w:r>
      <w:r>
        <w:rPr>
          <w:rFonts w:hint="eastAsia" w:ascii="仿宋_GB2312" w:hAnsi="仿宋_GB2312" w:cs="宋体"/>
          <w:color w:val="000000"/>
          <w:kern w:val="0"/>
          <w:szCs w:val="32"/>
        </w:rPr>
        <w:t>分</w:t>
      </w:r>
      <w:r>
        <w:rPr>
          <w:rFonts w:hint="eastAsia" w:ascii="仿宋_GB2312"/>
          <w:szCs w:val="32"/>
        </w:rPr>
        <w:t>（含）</w:t>
      </w:r>
      <w:r>
        <w:rPr>
          <w:rFonts w:hint="eastAsia" w:ascii="仿宋_GB2312" w:hAnsi="仿宋_GB2312" w:cs="宋体"/>
          <w:color w:val="000000"/>
          <w:kern w:val="0"/>
          <w:szCs w:val="32"/>
        </w:rPr>
        <w:t>的，可同时承担</w:t>
      </w:r>
      <w:r>
        <w:rPr>
          <w:rFonts w:ascii="仿宋_GB2312" w:hAnsi="仿宋_GB2312" w:cs="宋体"/>
          <w:color w:val="000000"/>
          <w:kern w:val="0"/>
          <w:szCs w:val="32"/>
        </w:rPr>
        <w:t>4</w:t>
      </w:r>
      <w:r>
        <w:rPr>
          <w:rFonts w:hint="eastAsia" w:ascii="仿宋_GB2312" w:hAnsi="仿宋_GB2312" w:cs="宋体"/>
          <w:color w:val="000000"/>
          <w:kern w:val="0"/>
          <w:szCs w:val="32"/>
        </w:rPr>
        <w:t>个</w:t>
      </w:r>
      <w:r>
        <w:rPr>
          <w:rFonts w:hint="eastAsia" w:ascii="仿宋" w:hAnsi="仿宋" w:eastAsia="仿宋"/>
          <w:szCs w:val="32"/>
        </w:rPr>
        <w:t>项目。</w:t>
      </w:r>
    </w:p>
    <w:p>
      <w:pPr>
        <w:widowControl/>
        <w:ind w:firstLine="560"/>
        <w:rPr>
          <w:rFonts w:ascii="仿宋" w:hAnsi="仿宋" w:eastAsia="仿宋"/>
          <w:szCs w:val="32"/>
        </w:rPr>
      </w:pPr>
      <w:r>
        <w:rPr>
          <w:rFonts w:ascii="仿宋_GB2312" w:hAnsi="仿宋_GB2312" w:cs="宋体"/>
          <w:color w:val="000000"/>
          <w:kern w:val="0"/>
          <w:szCs w:val="32"/>
        </w:rPr>
        <w:t>3</w:t>
      </w:r>
      <w:r>
        <w:rPr>
          <w:rFonts w:hint="eastAsia" w:ascii="仿宋_GB2312" w:hAnsi="仿宋_GB2312" w:cs="宋体"/>
          <w:color w:val="000000"/>
          <w:kern w:val="0"/>
          <w:szCs w:val="32"/>
        </w:rPr>
        <w:t>.7</w:t>
      </w:r>
      <w:r>
        <w:rPr>
          <w:rFonts w:ascii="仿宋_GB2312" w:hAnsi="仿宋_GB2312" w:cs="宋体"/>
          <w:color w:val="000000"/>
          <w:kern w:val="0"/>
          <w:szCs w:val="32"/>
        </w:rPr>
        <w:t>0</w:t>
      </w:r>
      <w:r>
        <w:rPr>
          <w:rFonts w:hint="eastAsia" w:ascii="仿宋_GB2312" w:hAnsi="仿宋_GB2312" w:cs="宋体"/>
          <w:color w:val="000000"/>
          <w:kern w:val="0"/>
          <w:szCs w:val="32"/>
        </w:rPr>
        <w:t>分--</w:t>
      </w:r>
      <w:r>
        <w:rPr>
          <w:rFonts w:ascii="仿宋_GB2312" w:hAnsi="仿宋_GB2312" w:cs="宋体"/>
          <w:color w:val="000000"/>
          <w:kern w:val="0"/>
          <w:szCs w:val="32"/>
        </w:rPr>
        <w:t>79</w:t>
      </w:r>
      <w:r>
        <w:rPr>
          <w:rFonts w:hint="eastAsia" w:ascii="仿宋_GB2312" w:hAnsi="仿宋_GB2312" w:cs="宋体"/>
          <w:color w:val="000000"/>
          <w:kern w:val="0"/>
          <w:szCs w:val="32"/>
        </w:rPr>
        <w:t>分</w:t>
      </w:r>
      <w:r>
        <w:rPr>
          <w:rFonts w:hint="eastAsia" w:ascii="仿宋_GB2312"/>
          <w:szCs w:val="32"/>
        </w:rPr>
        <w:t>（含）</w:t>
      </w:r>
      <w:r>
        <w:rPr>
          <w:rFonts w:hint="eastAsia" w:ascii="仿宋_GB2312" w:hAnsi="仿宋_GB2312" w:cs="宋体"/>
          <w:color w:val="000000"/>
          <w:kern w:val="0"/>
          <w:szCs w:val="32"/>
        </w:rPr>
        <w:t>的，可同时承担</w:t>
      </w:r>
      <w:r>
        <w:rPr>
          <w:rFonts w:ascii="仿宋_GB2312" w:hAnsi="仿宋_GB2312" w:cs="宋体"/>
          <w:color w:val="000000"/>
          <w:kern w:val="0"/>
          <w:szCs w:val="32"/>
        </w:rPr>
        <w:t>3</w:t>
      </w:r>
      <w:r>
        <w:rPr>
          <w:rFonts w:hint="eastAsia" w:ascii="仿宋_GB2312" w:hAnsi="仿宋_GB2312" w:cs="宋体"/>
          <w:color w:val="000000"/>
          <w:kern w:val="0"/>
          <w:szCs w:val="32"/>
        </w:rPr>
        <w:t>个</w:t>
      </w:r>
      <w:r>
        <w:rPr>
          <w:rFonts w:hint="eastAsia" w:ascii="仿宋" w:hAnsi="仿宋" w:eastAsia="仿宋"/>
          <w:szCs w:val="32"/>
        </w:rPr>
        <w:t>项目。</w:t>
      </w:r>
    </w:p>
    <w:p>
      <w:pPr>
        <w:widowControl/>
        <w:ind w:firstLine="560"/>
        <w:rPr>
          <w:rFonts w:ascii="仿宋_GB2312" w:hAnsi="仿宋_GB2312" w:cs="宋体"/>
          <w:color w:val="000000"/>
          <w:kern w:val="0"/>
          <w:szCs w:val="32"/>
        </w:rPr>
      </w:pPr>
      <w:r>
        <w:rPr>
          <w:rFonts w:ascii="仿宋_GB2312" w:hAnsi="仿宋_GB2312" w:cs="宋体"/>
          <w:color w:val="000000"/>
          <w:kern w:val="0"/>
          <w:szCs w:val="32"/>
        </w:rPr>
        <w:t>4</w:t>
      </w:r>
      <w:r>
        <w:rPr>
          <w:rFonts w:hint="eastAsia" w:ascii="仿宋_GB2312" w:hAnsi="仿宋_GB2312" w:cs="宋体"/>
          <w:color w:val="000000"/>
          <w:kern w:val="0"/>
          <w:szCs w:val="32"/>
        </w:rPr>
        <w:t>.6</w:t>
      </w:r>
      <w:r>
        <w:rPr>
          <w:rFonts w:ascii="仿宋_GB2312" w:hAnsi="仿宋_GB2312" w:cs="宋体"/>
          <w:color w:val="000000"/>
          <w:kern w:val="0"/>
          <w:szCs w:val="32"/>
        </w:rPr>
        <w:t>0</w:t>
      </w:r>
      <w:r>
        <w:rPr>
          <w:rFonts w:hint="eastAsia" w:ascii="仿宋_GB2312" w:hAnsi="仿宋_GB2312" w:cs="宋体"/>
          <w:color w:val="000000"/>
          <w:kern w:val="0"/>
          <w:szCs w:val="32"/>
        </w:rPr>
        <w:t>分--</w:t>
      </w:r>
      <w:r>
        <w:rPr>
          <w:rFonts w:ascii="仿宋_GB2312" w:hAnsi="仿宋_GB2312" w:cs="宋体"/>
          <w:color w:val="000000"/>
          <w:kern w:val="0"/>
          <w:szCs w:val="32"/>
        </w:rPr>
        <w:t>69</w:t>
      </w:r>
      <w:r>
        <w:rPr>
          <w:rFonts w:hint="eastAsia" w:ascii="仿宋_GB2312" w:hAnsi="仿宋_GB2312" w:cs="宋体"/>
          <w:color w:val="000000"/>
          <w:kern w:val="0"/>
          <w:szCs w:val="32"/>
        </w:rPr>
        <w:t>分</w:t>
      </w:r>
      <w:r>
        <w:rPr>
          <w:rFonts w:hint="eastAsia" w:ascii="仿宋_GB2312"/>
          <w:szCs w:val="32"/>
        </w:rPr>
        <w:t>（含）</w:t>
      </w:r>
      <w:r>
        <w:rPr>
          <w:rFonts w:hint="eastAsia" w:ascii="仿宋_GB2312" w:hAnsi="仿宋_GB2312" w:cs="宋体"/>
          <w:color w:val="000000"/>
          <w:kern w:val="0"/>
          <w:szCs w:val="32"/>
        </w:rPr>
        <w:t>的，可同时承担</w:t>
      </w:r>
      <w:r>
        <w:rPr>
          <w:rFonts w:ascii="仿宋_GB2312" w:hAnsi="仿宋_GB2312" w:cs="宋体"/>
          <w:color w:val="000000"/>
          <w:kern w:val="0"/>
          <w:szCs w:val="32"/>
        </w:rPr>
        <w:t>2</w:t>
      </w:r>
      <w:r>
        <w:rPr>
          <w:rFonts w:hint="eastAsia" w:ascii="仿宋_GB2312" w:hAnsi="仿宋_GB2312" w:cs="宋体"/>
          <w:color w:val="000000"/>
          <w:kern w:val="0"/>
          <w:szCs w:val="32"/>
        </w:rPr>
        <w:t>个</w:t>
      </w:r>
      <w:r>
        <w:rPr>
          <w:rFonts w:hint="eastAsia" w:ascii="仿宋" w:hAnsi="仿宋" w:eastAsia="仿宋"/>
          <w:szCs w:val="32"/>
        </w:rPr>
        <w:t>项目。</w:t>
      </w:r>
    </w:p>
    <w:p>
      <w:pPr>
        <w:widowControl/>
        <w:ind w:firstLine="560"/>
        <w:rPr>
          <w:rFonts w:ascii="仿宋_GB2312" w:hAnsi="仿宋_GB2312" w:cs="宋体"/>
          <w:color w:val="000000"/>
          <w:kern w:val="0"/>
          <w:szCs w:val="32"/>
        </w:rPr>
      </w:pPr>
      <w:r>
        <w:rPr>
          <w:rFonts w:ascii="仿宋_GB2312" w:hAnsi="仿宋_GB2312" w:cs="宋体"/>
          <w:color w:val="000000"/>
          <w:kern w:val="0"/>
          <w:szCs w:val="32"/>
        </w:rPr>
        <w:t>5</w:t>
      </w:r>
      <w:r>
        <w:rPr>
          <w:rFonts w:hint="eastAsia" w:ascii="仿宋_GB2312" w:hAnsi="仿宋_GB2312" w:cs="宋体"/>
          <w:color w:val="000000"/>
          <w:kern w:val="0"/>
          <w:szCs w:val="32"/>
        </w:rPr>
        <w:t>.6</w:t>
      </w:r>
      <w:r>
        <w:rPr>
          <w:rFonts w:ascii="仿宋_GB2312" w:hAnsi="仿宋_GB2312" w:cs="宋体"/>
          <w:color w:val="000000"/>
          <w:kern w:val="0"/>
          <w:szCs w:val="32"/>
        </w:rPr>
        <w:t>0</w:t>
      </w:r>
      <w:r>
        <w:rPr>
          <w:rFonts w:hint="eastAsia" w:ascii="仿宋_GB2312" w:hAnsi="仿宋_GB2312" w:cs="宋体"/>
          <w:color w:val="000000"/>
          <w:kern w:val="0"/>
          <w:szCs w:val="32"/>
        </w:rPr>
        <w:t>分以下的，不得承担</w:t>
      </w:r>
      <w:r>
        <w:rPr>
          <w:rFonts w:hint="eastAsia" w:ascii="仿宋_GB2312"/>
          <w:szCs w:val="32"/>
        </w:rPr>
        <w:t>咨询业务</w:t>
      </w:r>
      <w:r>
        <w:rPr>
          <w:rFonts w:hint="eastAsia" w:ascii="仿宋" w:hAnsi="仿宋" w:eastAsia="仿宋"/>
          <w:szCs w:val="32"/>
        </w:rPr>
        <w:t>。</w:t>
      </w:r>
    </w:p>
    <w:p>
      <w:pPr>
        <w:widowControl/>
        <w:ind w:firstLine="562"/>
        <w:rPr>
          <w:rFonts w:ascii="仿宋_GB2312" w:hAnsi="仿宋_GB2312" w:cs="宋体"/>
          <w:b/>
          <w:color w:val="000000"/>
          <w:kern w:val="0"/>
          <w:szCs w:val="32"/>
        </w:rPr>
      </w:pPr>
      <w:r>
        <w:rPr>
          <w:rFonts w:hint="eastAsia" w:ascii="仿宋_GB2312" w:hAnsi="仿宋_GB2312" w:cs="宋体"/>
          <w:b/>
          <w:color w:val="000000"/>
          <w:kern w:val="0"/>
          <w:szCs w:val="32"/>
        </w:rPr>
        <w:t xml:space="preserve">第十八条 </w:t>
      </w:r>
      <w:r>
        <w:rPr>
          <w:rFonts w:hint="eastAsia" w:ascii="仿宋_GB2312" w:hAnsi="仿宋_GB2312" w:cs="宋体"/>
          <w:color w:val="000000"/>
          <w:kern w:val="0"/>
          <w:szCs w:val="32"/>
        </w:rPr>
        <w:t>造价师对已有造价咨询成果进行复核的，其信用评价分必须高于被复核项目造价师的信用评价分。</w:t>
      </w:r>
    </w:p>
    <w:p>
      <w:pPr>
        <w:widowControl/>
        <w:ind w:firstLine="562"/>
        <w:rPr>
          <w:rFonts w:ascii="仿宋_GB2312" w:hAnsi="仿宋_GB2312" w:cs="宋体"/>
          <w:color w:val="000000"/>
          <w:kern w:val="0"/>
          <w:szCs w:val="32"/>
        </w:rPr>
      </w:pPr>
      <w:r>
        <w:rPr>
          <w:rFonts w:hint="eastAsia" w:ascii="仿宋_GB2312" w:hAnsi="仿宋_GB2312" w:cs="宋体"/>
          <w:b/>
          <w:color w:val="000000"/>
          <w:kern w:val="0"/>
          <w:szCs w:val="32"/>
        </w:rPr>
        <w:t xml:space="preserve">第十九条 </w:t>
      </w:r>
      <w:r>
        <w:rPr>
          <w:rFonts w:hint="eastAsia" w:ascii="仿宋_GB2312" w:hAnsi="仿宋_GB2312" w:cs="宋体"/>
          <w:color w:val="000000"/>
          <w:kern w:val="0"/>
          <w:szCs w:val="32"/>
        </w:rPr>
        <w:t>有下列情形之一的咨询企业及造价师，限期三个月整改，整改不到位的，列入“失信企业”、“失信人员”名单：</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1.信用评价时弄虚作假，情节严重，经核查属实的；</w:t>
      </w:r>
    </w:p>
    <w:p>
      <w:pPr>
        <w:widowControl/>
        <w:ind w:firstLine="560"/>
        <w:rPr>
          <w:rFonts w:ascii="仿宋_GB2312" w:hAnsi="仿宋_GB2312" w:cs="宋体"/>
          <w:color w:val="000000"/>
          <w:kern w:val="0"/>
          <w:szCs w:val="32"/>
        </w:rPr>
      </w:pPr>
      <w:r>
        <w:rPr>
          <w:rFonts w:ascii="仿宋_GB2312" w:hAnsi="仿宋_GB2312" w:cs="宋体"/>
          <w:color w:val="000000"/>
          <w:kern w:val="0"/>
          <w:szCs w:val="32"/>
        </w:rPr>
        <w:t>2</w:t>
      </w:r>
      <w:r>
        <w:rPr>
          <w:rFonts w:hint="eastAsia" w:ascii="仿宋_GB2312" w:hAnsi="仿宋_GB2312" w:cs="宋体"/>
          <w:color w:val="000000"/>
          <w:kern w:val="0"/>
          <w:szCs w:val="32"/>
        </w:rPr>
        <w:t>.被建设行政主管部门要求整改且未及时整改到位的；</w:t>
      </w:r>
    </w:p>
    <w:p>
      <w:pPr>
        <w:widowControl/>
        <w:ind w:firstLine="560"/>
        <w:rPr>
          <w:rFonts w:ascii="仿宋_GB2312" w:hAnsi="仿宋_GB2312" w:cs="宋体"/>
          <w:color w:val="000000"/>
          <w:kern w:val="0"/>
          <w:szCs w:val="32"/>
        </w:rPr>
      </w:pPr>
      <w:r>
        <w:rPr>
          <w:rFonts w:ascii="仿宋_GB2312" w:hAnsi="仿宋_GB2312" w:cs="宋体"/>
          <w:color w:val="000000"/>
          <w:kern w:val="0"/>
          <w:szCs w:val="32"/>
        </w:rPr>
        <w:t>3</w:t>
      </w:r>
      <w:r>
        <w:rPr>
          <w:rFonts w:hint="eastAsia" w:ascii="仿宋_GB2312" w:hAnsi="仿宋_GB2312" w:cs="宋体"/>
          <w:color w:val="000000"/>
          <w:kern w:val="0"/>
          <w:szCs w:val="32"/>
        </w:rPr>
        <w:t>.咨询企业服务评价得分低于5分或咨询企业超过1</w:t>
      </w:r>
      <w:r>
        <w:rPr>
          <w:rFonts w:ascii="仿宋_GB2312" w:hAnsi="仿宋_GB2312" w:cs="宋体"/>
          <w:color w:val="000000"/>
          <w:kern w:val="0"/>
          <w:szCs w:val="32"/>
        </w:rPr>
        <w:t>0</w:t>
      </w:r>
      <w:r>
        <w:rPr>
          <w:rFonts w:hint="eastAsia" w:ascii="仿宋_GB2312" w:hAnsi="仿宋_GB2312" w:cs="宋体"/>
          <w:color w:val="000000"/>
          <w:kern w:val="0"/>
          <w:szCs w:val="32"/>
        </w:rPr>
        <w:t>%的在册造价师个人服务评价得分低于1</w:t>
      </w:r>
      <w:r>
        <w:rPr>
          <w:rFonts w:ascii="仿宋_GB2312" w:hAnsi="仿宋_GB2312" w:cs="宋体"/>
          <w:color w:val="000000"/>
          <w:kern w:val="0"/>
          <w:szCs w:val="32"/>
        </w:rPr>
        <w:t>0</w:t>
      </w:r>
      <w:r>
        <w:rPr>
          <w:rFonts w:hint="eastAsia" w:ascii="仿宋_GB2312" w:hAnsi="仿宋_GB2312" w:cs="宋体"/>
          <w:color w:val="000000"/>
          <w:kern w:val="0"/>
          <w:szCs w:val="32"/>
        </w:rPr>
        <w:t>分的；</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4.造价师有3次服务评价得分低于1</w:t>
      </w:r>
      <w:r>
        <w:rPr>
          <w:rFonts w:ascii="仿宋_GB2312" w:hAnsi="仿宋_GB2312" w:cs="宋体"/>
          <w:color w:val="000000"/>
          <w:kern w:val="0"/>
          <w:szCs w:val="32"/>
        </w:rPr>
        <w:t>0</w:t>
      </w:r>
      <w:r>
        <w:rPr>
          <w:rFonts w:hint="eastAsia" w:ascii="仿宋_GB2312" w:hAnsi="仿宋_GB2312" w:cs="宋体"/>
          <w:color w:val="000000"/>
          <w:kern w:val="0"/>
          <w:szCs w:val="32"/>
        </w:rPr>
        <w:t>分的；</w:t>
      </w:r>
    </w:p>
    <w:p>
      <w:pPr>
        <w:widowControl/>
        <w:ind w:firstLine="560"/>
        <w:rPr>
          <w:rFonts w:ascii="仿宋_GB2312" w:hAnsi="仿宋_GB2312" w:cs="宋体"/>
          <w:color w:val="000000"/>
          <w:kern w:val="0"/>
          <w:szCs w:val="32"/>
        </w:rPr>
      </w:pPr>
      <w:r>
        <w:rPr>
          <w:rFonts w:hint="eastAsia" w:ascii="仿宋_GB2312" w:hAnsi="仿宋_GB2312" w:cs="宋体"/>
          <w:color w:val="000000"/>
          <w:kern w:val="0"/>
          <w:szCs w:val="32"/>
        </w:rPr>
        <w:t>5.其他严重失信行为。</w:t>
      </w:r>
    </w:p>
    <w:p>
      <w:pPr>
        <w:pStyle w:val="2"/>
        <w:numPr>
          <w:ilvl w:val="0"/>
          <w:numId w:val="0"/>
        </w:numPr>
        <w:ind w:left="420"/>
      </w:pPr>
    </w:p>
    <w:p>
      <w:pPr>
        <w:widowControl/>
        <w:ind w:firstLine="2800" w:firstLineChars="1000"/>
        <w:rPr>
          <w:rFonts w:ascii="黑体" w:hAnsi="黑体" w:eastAsia="黑体" w:cs="宋体"/>
          <w:color w:val="000000"/>
          <w:kern w:val="0"/>
          <w:szCs w:val="32"/>
        </w:rPr>
      </w:pPr>
      <w:r>
        <w:rPr>
          <w:rFonts w:hint="eastAsia" w:ascii="黑体" w:hAnsi="黑体" w:eastAsia="黑体" w:cs="宋体"/>
          <w:color w:val="000000"/>
          <w:kern w:val="0"/>
          <w:szCs w:val="32"/>
        </w:rPr>
        <w:t>第四章  附则</w:t>
      </w:r>
    </w:p>
    <w:p>
      <w:pPr>
        <w:widowControl/>
        <w:ind w:firstLine="551" w:firstLineChars="196"/>
        <w:rPr>
          <w:rFonts w:ascii="仿宋_GB2312" w:hAnsi="仿宋_GB2312" w:cs="宋体"/>
          <w:b/>
          <w:color w:val="000000"/>
          <w:kern w:val="0"/>
          <w:szCs w:val="32"/>
        </w:rPr>
      </w:pPr>
    </w:p>
    <w:p>
      <w:pPr>
        <w:widowControl/>
        <w:ind w:firstLine="551" w:firstLineChars="196"/>
        <w:rPr>
          <w:rFonts w:ascii="仿宋_GB2312"/>
          <w:szCs w:val="32"/>
        </w:rPr>
      </w:pPr>
      <w:r>
        <w:rPr>
          <w:rFonts w:hint="eastAsia" w:ascii="仿宋_GB2312" w:hAnsi="仿宋_GB2312" w:cs="宋体"/>
          <w:b/>
          <w:color w:val="000000"/>
          <w:kern w:val="0"/>
          <w:szCs w:val="32"/>
        </w:rPr>
        <w:t xml:space="preserve">第二十条 </w:t>
      </w:r>
      <w:r>
        <w:rPr>
          <w:rFonts w:hint="eastAsia" w:ascii="仿宋_GB2312"/>
          <w:szCs w:val="32"/>
        </w:rPr>
        <w:t>咨询企业资质晋级、合并或分立时，原信用等级不再保留，应重新参加信用评价。</w:t>
      </w:r>
    </w:p>
    <w:p>
      <w:pPr>
        <w:ind w:firstLine="562"/>
        <w:rPr>
          <w:rFonts w:ascii="仿宋_GB2312"/>
          <w:szCs w:val="32"/>
        </w:rPr>
      </w:pPr>
      <w:r>
        <w:rPr>
          <w:rFonts w:hint="eastAsia" w:ascii="仿宋_GB2312"/>
          <w:b/>
          <w:szCs w:val="32"/>
        </w:rPr>
        <w:t>第</w:t>
      </w:r>
      <w:r>
        <w:rPr>
          <w:rFonts w:hint="eastAsia" w:ascii="仿宋_GB2312" w:hAnsi="仿宋_GB2312" w:cs="宋体"/>
          <w:b/>
          <w:color w:val="000000"/>
          <w:kern w:val="0"/>
          <w:szCs w:val="32"/>
        </w:rPr>
        <w:t>二十一</w:t>
      </w:r>
      <w:r>
        <w:rPr>
          <w:rFonts w:hint="eastAsia" w:ascii="仿宋_GB2312"/>
          <w:b/>
          <w:szCs w:val="32"/>
        </w:rPr>
        <w:t>条</w:t>
      </w:r>
      <w:r>
        <w:rPr>
          <w:rFonts w:hint="eastAsia" w:ascii="仿宋_GB2312"/>
          <w:szCs w:val="32"/>
        </w:rPr>
        <w:t xml:space="preserve"> 评价内容、核准及应用，根据国家、省相关政策文件、行业发展情况及时调整完善，做到既符合形势又相对稳定。</w:t>
      </w:r>
    </w:p>
    <w:p>
      <w:pPr>
        <w:widowControl/>
        <w:ind w:firstLine="551" w:firstLineChars="196"/>
        <w:rPr>
          <w:rFonts w:ascii="仿宋_GB2312" w:hAnsi="仿宋_GB2312" w:cs="宋体"/>
          <w:color w:val="000000"/>
          <w:kern w:val="0"/>
          <w:szCs w:val="32"/>
        </w:rPr>
      </w:pPr>
      <w:r>
        <w:rPr>
          <w:rFonts w:hint="eastAsia" w:ascii="仿宋_GB2312" w:hAnsi="仿宋_GB2312" w:cs="宋体"/>
          <w:b/>
          <w:color w:val="000000"/>
          <w:kern w:val="0"/>
          <w:szCs w:val="32"/>
        </w:rPr>
        <w:t xml:space="preserve">第二十二条 </w:t>
      </w:r>
      <w:r>
        <w:rPr>
          <w:rFonts w:hint="eastAsia" w:ascii="仿宋_GB2312" w:hAnsi="仿宋_GB2312" w:cs="宋体"/>
          <w:color w:val="000000"/>
          <w:kern w:val="0"/>
          <w:szCs w:val="32"/>
        </w:rPr>
        <w:t>本办法具体解释工作由市造价处负责。</w:t>
      </w:r>
    </w:p>
    <w:p>
      <w:pPr>
        <w:ind w:firstLine="560"/>
      </w:pPr>
    </w:p>
    <w:p>
      <w:pPr>
        <w:ind w:firstLine="560"/>
      </w:pPr>
    </w:p>
    <w:p>
      <w:pPr>
        <w:ind w:firstLine="560"/>
      </w:pPr>
    </w:p>
    <w:p>
      <w:pPr>
        <w:ind w:firstLine="560"/>
      </w:pPr>
    </w:p>
    <w:p>
      <w:pPr>
        <w:ind w:firstLine="560"/>
      </w:pPr>
    </w:p>
    <w:p>
      <w:pPr>
        <w:ind w:firstLine="560"/>
      </w:pPr>
    </w:p>
    <w:p>
      <w:pPr>
        <w:ind w:firstLine="560"/>
      </w:pPr>
    </w:p>
    <w:p>
      <w:pPr>
        <w:widowControl/>
        <w:ind w:firstLine="560"/>
        <w:jc w:val="left"/>
      </w:pPr>
      <w:r>
        <w:br w:type="page"/>
      </w:r>
    </w:p>
    <w:p>
      <w:pPr>
        <w:widowControl/>
        <w:spacing w:line="400" w:lineRule="exact"/>
        <w:ind w:firstLine="0" w:firstLineChars="0"/>
        <w:jc w:val="left"/>
        <w:outlineLvl w:val="0"/>
        <w:rPr>
          <w:rFonts w:ascii="宋体" w:hAnsi="宋体" w:cs="宋体"/>
          <w:kern w:val="0"/>
          <w:szCs w:val="28"/>
        </w:rPr>
      </w:pPr>
      <w:bookmarkStart w:id="1254" w:name="_Toc29732"/>
      <w:bookmarkStart w:id="1255" w:name="_Toc6982"/>
      <w:bookmarkStart w:id="1256" w:name="_Toc3047"/>
      <w:bookmarkStart w:id="1257" w:name="_Toc1314"/>
      <w:bookmarkStart w:id="1258" w:name="_Toc24960"/>
      <w:bookmarkStart w:id="1259" w:name="_Toc18356"/>
      <w:bookmarkStart w:id="1260" w:name="_Toc28124"/>
      <w:bookmarkStart w:id="1261" w:name="_Toc24703"/>
      <w:bookmarkStart w:id="1262" w:name="_Toc31138"/>
      <w:bookmarkStart w:id="1263" w:name="_Toc16323"/>
      <w:r>
        <w:rPr>
          <w:rFonts w:hint="eastAsia" w:ascii="宋体" w:hAnsi="宋体" w:cs="宋体"/>
          <w:kern w:val="0"/>
          <w:szCs w:val="28"/>
        </w:rPr>
        <w:t>附表一</w:t>
      </w:r>
      <w:bookmarkEnd w:id="1254"/>
      <w:bookmarkEnd w:id="1255"/>
      <w:bookmarkEnd w:id="1256"/>
      <w:bookmarkEnd w:id="1257"/>
      <w:bookmarkEnd w:id="1258"/>
      <w:bookmarkEnd w:id="1259"/>
      <w:bookmarkEnd w:id="1260"/>
      <w:bookmarkEnd w:id="1261"/>
      <w:bookmarkEnd w:id="1262"/>
      <w:bookmarkEnd w:id="1263"/>
    </w:p>
    <w:p>
      <w:pPr>
        <w:ind w:firstLine="0" w:firstLineChars="0"/>
        <w:jc w:val="center"/>
        <w:rPr>
          <w:b/>
          <w:bCs/>
        </w:rPr>
      </w:pPr>
      <w:r>
        <w:rPr>
          <w:rFonts w:hint="eastAsia"/>
          <w:b/>
          <w:bCs/>
        </w:rPr>
        <w:t>苏州市造价咨询企业信用评价评分标准</w:t>
      </w:r>
    </w:p>
    <w:tbl>
      <w:tblPr>
        <w:tblStyle w:val="22"/>
        <w:tblW w:w="8608" w:type="dxa"/>
        <w:tblInd w:w="0" w:type="dxa"/>
        <w:tblLayout w:type="autofit"/>
        <w:tblCellMar>
          <w:top w:w="0" w:type="dxa"/>
          <w:left w:w="108" w:type="dxa"/>
          <w:bottom w:w="0" w:type="dxa"/>
          <w:right w:w="108" w:type="dxa"/>
        </w:tblCellMar>
      </w:tblPr>
      <w:tblGrid>
        <w:gridCol w:w="883"/>
        <w:gridCol w:w="1586"/>
        <w:gridCol w:w="1080"/>
        <w:gridCol w:w="4290"/>
        <w:gridCol w:w="769"/>
      </w:tblGrid>
      <w:tr>
        <w:tblPrEx>
          <w:tblCellMar>
            <w:top w:w="0" w:type="dxa"/>
            <w:left w:w="108" w:type="dxa"/>
            <w:bottom w:w="0" w:type="dxa"/>
            <w:right w:w="108" w:type="dxa"/>
          </w:tblCellMar>
        </w:tblPrEx>
        <w:trPr>
          <w:trHeight w:val="300" w:hRule="atLeast"/>
        </w:trPr>
        <w:tc>
          <w:tcPr>
            <w:tcW w:w="883"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项目</w:t>
            </w:r>
          </w:p>
        </w:tc>
        <w:tc>
          <w:tcPr>
            <w:tcW w:w="1586"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主要指标</w:t>
            </w:r>
          </w:p>
        </w:tc>
        <w:tc>
          <w:tcPr>
            <w:tcW w:w="108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序号</w:t>
            </w:r>
          </w:p>
        </w:tc>
        <w:tc>
          <w:tcPr>
            <w:tcW w:w="429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评分细则</w:t>
            </w:r>
          </w:p>
        </w:tc>
        <w:tc>
          <w:tcPr>
            <w:tcW w:w="769"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分值</w:t>
            </w:r>
          </w:p>
        </w:tc>
      </w:tr>
      <w:tr>
        <w:tblPrEx>
          <w:tblCellMar>
            <w:top w:w="0" w:type="dxa"/>
            <w:left w:w="108" w:type="dxa"/>
            <w:bottom w:w="0" w:type="dxa"/>
            <w:right w:w="108" w:type="dxa"/>
          </w:tblCellMar>
        </w:tblPrEx>
        <w:trPr>
          <w:trHeight w:val="300" w:hRule="atLeast"/>
        </w:trPr>
        <w:tc>
          <w:tcPr>
            <w:tcW w:w="88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1.基本信息         90分</w:t>
            </w:r>
          </w:p>
        </w:tc>
        <w:tc>
          <w:tcPr>
            <w:tcW w:w="158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1.1专业人员结构               50分</w:t>
            </w:r>
          </w:p>
        </w:tc>
        <w:tc>
          <w:tcPr>
            <w:tcW w:w="108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完成系统上企业及注册造价师信息录入</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30</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每1名一级注册造价师加0.5分（人事、社保齐全）</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15</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每1名二级注册造价师加0.2分（人事、社保齐全）</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1.2造价师信用评价10分</w:t>
            </w:r>
          </w:p>
        </w:tc>
        <w:tc>
          <w:tcPr>
            <w:tcW w:w="108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1.2.1</w:t>
            </w:r>
          </w:p>
        </w:tc>
        <w:tc>
          <w:tcPr>
            <w:tcW w:w="429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在册造价师的信用评价得分平均值*10%</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10</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1.3造价业务收入3分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业绩收入排名前10%（含）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业绩收入排名11-30%（含）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2.5</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业绩收入排名31-60%（含）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1.3.4</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业绩收入排名61-90%（含）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1.5</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1.3.5</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业绩收入排名90%以后的</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1.3.6</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无业绩收入的</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0</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1.4纳税情况         3分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纳税排名前10%（含）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纳税排名11-30%（含）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2.5</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纳税排名31-60%（含）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1.4.4</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纳税排名61-90%（含）</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1.5</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1.4.5</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纳税排名90%以后的</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1.4.6</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无纳税的</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0</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1.5服务评价               10分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1.5.1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服务对象对咨询企业管理模式、团队实力等情况的满意度测评</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1.5.2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服务对象对咨询企业协调能力、职工素质等情况的满意度测评</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1.6拓展业务能力       4分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1.6.1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完成PPP或EPC项目造价咨询业务的，每个项目得0.5分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1.6.2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完成特大型桥梁工程或高速公路项目造价咨询业务的，每个项目得0.5分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w:t>
            </w:r>
          </w:p>
        </w:tc>
      </w:tr>
      <w:tr>
        <w:tblPrEx>
          <w:tblCellMar>
            <w:top w:w="0" w:type="dxa"/>
            <w:left w:w="108" w:type="dxa"/>
            <w:bottom w:w="0" w:type="dxa"/>
            <w:right w:w="108" w:type="dxa"/>
          </w:tblCellMar>
        </w:tblPrEx>
        <w:trPr>
          <w:trHeight w:val="73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1.6.3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完成铁路或地铁项目土建、铺轨或机电工程的造价咨询业务的，每个项目得0.5分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w:t>
            </w:r>
          </w:p>
        </w:tc>
      </w:tr>
      <w:tr>
        <w:tblPrEx>
          <w:tblCellMar>
            <w:top w:w="0" w:type="dxa"/>
            <w:left w:w="108" w:type="dxa"/>
            <w:bottom w:w="0" w:type="dxa"/>
            <w:right w:w="108" w:type="dxa"/>
          </w:tblCellMar>
        </w:tblPrEx>
        <w:trPr>
          <w:trHeight w:val="121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1.6.4</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完成100米及以上超高层或3层及以上深基坑建筑项目或机场候机楼、体育场馆、影剧院、展览馆、博物馆等特殊建筑的造价咨询业务的，每个项目得0.5分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w:t>
            </w:r>
          </w:p>
        </w:tc>
      </w:tr>
      <w:tr>
        <w:tblPrEx>
          <w:tblCellMar>
            <w:top w:w="0" w:type="dxa"/>
            <w:left w:w="108" w:type="dxa"/>
            <w:bottom w:w="0" w:type="dxa"/>
            <w:right w:w="108" w:type="dxa"/>
          </w:tblCellMar>
        </w:tblPrEx>
        <w:trPr>
          <w:trHeight w:val="1305" w:hRule="atLeast"/>
        </w:trPr>
        <w:tc>
          <w:tcPr>
            <w:tcW w:w="88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1.基本信息         90分</w:t>
            </w: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1.7良好行为         10分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1.7.1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获县（区）级以上人民政府的表彰或奖励，每获县(区）级一项加0.5分,每获市级一项加1分,每获省级一项加1.5分，每获国家级一项加2分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244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1.7.2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成立党支部的加0.2分，获“度量先锋 信服公正”行业党建荣誉的加0.5分；获“先进基层党组织”、“先锋基层党组织”等称号的，每获苏州市委组织部、苏州市住建局党委授予的一项加1分，每获江苏省委组织部、江苏省住建行业党委授予的一项加1.5分，每获中组部、住建部授予的一项加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129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1.7.3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获建设行政主管部门的表彰或奖励,每获县区级一项加0.5分，每获市级一项加1分,每获省级一项加1.5分，每获国家级一项加2分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154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1.7.4</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获得造价管理部门或造价行业协会的综合表彰或奖励,每获县区级一项加0.5分，每获市级一项加1分,每获省级一项加1.5分，每获国家级一项加2分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15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1.7.5</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获市级及以上行业主管部门或行业协会组织的各类造价业务技能竞赛名次或奖励的，每获市级一项加1分,每获省级一项加1.5分，每获国家级一项加2分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trHeight w:val="1170" w:hRule="atLeast"/>
        </w:trPr>
        <w:tc>
          <w:tcPr>
            <w:tcW w:w="88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2.综合检查          20分</w:t>
            </w: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2.1质量检查        12分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2.1.1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归档资料不符合《江苏省工程造价咨询业务指导规程》的，每缺少一项扣1分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913"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2.1.2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咨询成果文件应规范。盖章、签字不全的，每缺少一项扣1分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1294"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2.1.3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在造价咨询成果质量专项检查中，因质量问题被通报的，省级每次扣2分，市级每次扣1分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1051"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2.1.4</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在造价咨询成果质量“双随机”抽查中,因质量问题被通报的，省级每次扣2分，市级每次扣1分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1215" w:hRule="atLeast"/>
        </w:trPr>
        <w:tc>
          <w:tcPr>
            <w:tcW w:w="88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2.2行为规范                8分</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2.2.1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在日常监管过程中，因未严格执行计价规范或计价依据导致咨询成果质量存在问题，被造价管理部门约谈确认，每次扣1-2分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4</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2.2.2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无正当理由不配合造价管理部门调解，每次扣1-2分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4</w:t>
            </w:r>
          </w:p>
        </w:tc>
      </w:tr>
      <w:tr>
        <w:tblPrEx>
          <w:tblCellMar>
            <w:top w:w="0" w:type="dxa"/>
            <w:left w:w="108" w:type="dxa"/>
            <w:bottom w:w="0" w:type="dxa"/>
            <w:right w:w="108" w:type="dxa"/>
          </w:tblCellMar>
        </w:tblPrEx>
        <w:trPr>
          <w:trHeight w:val="735" w:hRule="atLeast"/>
        </w:trPr>
        <w:tc>
          <w:tcPr>
            <w:tcW w:w="88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3.不良行为</w:t>
            </w:r>
          </w:p>
        </w:tc>
        <w:tc>
          <w:tcPr>
            <w:tcW w:w="1586"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3.1不良行为</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企业员工离职后，无正当理由不给予及时办理劳动合同解除、证书印章变更、人事档案调离</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3.1.2</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虚假填报企业业绩、注册造价师信息及信用手册等</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由于咨询企业行为过错给企业或当事人造成重大经济损失</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3.1.4</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违背客观、公正和诚信原则出具工程造价咨询成果报告</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r>
      <w:tr>
        <w:tblPrEx>
          <w:tblCellMar>
            <w:top w:w="0" w:type="dxa"/>
            <w:left w:w="108" w:type="dxa"/>
            <w:bottom w:w="0" w:type="dxa"/>
            <w:right w:w="108" w:type="dxa"/>
          </w:tblCellMar>
        </w:tblPrEx>
        <w:trPr>
          <w:trHeight w:val="572"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3.1.5</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无正当理由故意拖延项目结算审结行为</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　</w:t>
            </w:r>
          </w:p>
        </w:tc>
      </w:tr>
      <w:tr>
        <w:tblPrEx>
          <w:tblCellMar>
            <w:top w:w="0" w:type="dxa"/>
            <w:left w:w="108" w:type="dxa"/>
            <w:bottom w:w="0" w:type="dxa"/>
            <w:right w:w="108" w:type="dxa"/>
          </w:tblCellMar>
        </w:tblPrEx>
        <w:trPr>
          <w:trHeight w:val="73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3.1.6</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拒绝接受造价管理部门监督检查或拒绝提供反映情况真实材料</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3.1.7</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转包承接的工程造价咨询业务行为</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3.1.8</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泄露或窃取当事人商业秘密的和技术秘密</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3.1.9</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与当事人签订的工程造价咨询业务合同有欺诈现象</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3</w:t>
            </w:r>
          </w:p>
        </w:tc>
      </w:tr>
      <w:tr>
        <w:tblPrEx>
          <w:tblCellMar>
            <w:top w:w="0" w:type="dxa"/>
            <w:left w:w="108" w:type="dxa"/>
            <w:bottom w:w="0" w:type="dxa"/>
            <w:right w:w="108" w:type="dxa"/>
          </w:tblCellMar>
        </w:tblPrEx>
        <w:trPr>
          <w:trHeight w:val="495"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3.1.10</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以给予回扣、恶意压低收费等方式进行不正当竞争</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3.1.11</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恶意抬高或压低工程造价</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trHeight w:val="314"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3.1.12</w:t>
            </w:r>
          </w:p>
        </w:tc>
        <w:tc>
          <w:tcPr>
            <w:tcW w:w="4290"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被县（区）级及以上建设行政主管部门通报批评或要求限期整改的,县（区）级扣1分，市级扣3分,省级扣5分，国家级扣7分</w:t>
            </w:r>
          </w:p>
        </w:tc>
        <w:tc>
          <w:tcPr>
            <w:tcW w:w="769"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1</w:t>
            </w:r>
          </w:p>
        </w:tc>
      </w:tr>
      <w:tr>
        <w:tblPrEx>
          <w:tblCellMar>
            <w:top w:w="0" w:type="dxa"/>
            <w:left w:w="108" w:type="dxa"/>
            <w:bottom w:w="0" w:type="dxa"/>
            <w:right w:w="108" w:type="dxa"/>
          </w:tblCellMar>
        </w:tblPrEx>
        <w:trPr>
          <w:trHeight w:val="312"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vMerge w:val="continue"/>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p>
        </w:tc>
        <w:tc>
          <w:tcPr>
            <w:tcW w:w="4290" w:type="dxa"/>
            <w:vMerge w:val="continue"/>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left"/>
              <w:rPr>
                <w:rFonts w:ascii="宋体" w:hAnsi="宋体" w:eastAsia="宋体" w:cs="宋体"/>
                <w:color w:val="000000"/>
                <w:kern w:val="0"/>
                <w:sz w:val="21"/>
                <w:szCs w:val="21"/>
              </w:rPr>
            </w:pPr>
          </w:p>
        </w:tc>
        <w:tc>
          <w:tcPr>
            <w:tcW w:w="769"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trHeight w:val="312"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vMerge w:val="continue"/>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p>
        </w:tc>
        <w:tc>
          <w:tcPr>
            <w:tcW w:w="4290" w:type="dxa"/>
            <w:vMerge w:val="continue"/>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left"/>
              <w:rPr>
                <w:rFonts w:ascii="宋体" w:hAnsi="宋体" w:eastAsia="宋体" w:cs="宋体"/>
                <w:color w:val="000000"/>
                <w:kern w:val="0"/>
                <w:sz w:val="21"/>
                <w:szCs w:val="21"/>
              </w:rPr>
            </w:pPr>
          </w:p>
        </w:tc>
        <w:tc>
          <w:tcPr>
            <w:tcW w:w="769"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trHeight w:val="312" w:hRule="atLeast"/>
        </w:trPr>
        <w:tc>
          <w:tcPr>
            <w:tcW w:w="88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vMerge w:val="continue"/>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p>
        </w:tc>
        <w:tc>
          <w:tcPr>
            <w:tcW w:w="4290" w:type="dxa"/>
            <w:vMerge w:val="continue"/>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left"/>
              <w:rPr>
                <w:rFonts w:ascii="宋体" w:hAnsi="宋体" w:eastAsia="宋体" w:cs="宋体"/>
                <w:color w:val="000000"/>
                <w:kern w:val="0"/>
                <w:sz w:val="21"/>
                <w:szCs w:val="21"/>
              </w:rPr>
            </w:pPr>
          </w:p>
        </w:tc>
        <w:tc>
          <w:tcPr>
            <w:tcW w:w="769"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7</w:t>
            </w:r>
          </w:p>
        </w:tc>
      </w:tr>
      <w:tr>
        <w:tblPrEx>
          <w:tblCellMar>
            <w:top w:w="0" w:type="dxa"/>
            <w:left w:w="108" w:type="dxa"/>
            <w:bottom w:w="0" w:type="dxa"/>
            <w:right w:w="108" w:type="dxa"/>
          </w:tblCellMar>
        </w:tblPrEx>
        <w:trPr>
          <w:trHeight w:val="300" w:hRule="atLeast"/>
        </w:trPr>
        <w:tc>
          <w:tcPr>
            <w:tcW w:w="88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b/>
                <w:bCs/>
                <w:kern w:val="0"/>
                <w:sz w:val="21"/>
                <w:szCs w:val="21"/>
              </w:rPr>
            </w:pP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3.1.1</w:t>
            </w:r>
            <w:r>
              <w:rPr>
                <w:rFonts w:ascii="宋体" w:hAnsi="宋体" w:eastAsia="宋体" w:cs="宋体"/>
                <w:kern w:val="0"/>
                <w:sz w:val="21"/>
                <w:szCs w:val="21"/>
              </w:rPr>
              <w:t>3</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法律、法规禁止的其他行为</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7</w:t>
            </w:r>
          </w:p>
        </w:tc>
      </w:tr>
      <w:tr>
        <w:tblPrEx>
          <w:tblCellMar>
            <w:top w:w="0" w:type="dxa"/>
            <w:left w:w="108" w:type="dxa"/>
            <w:bottom w:w="0" w:type="dxa"/>
            <w:right w:w="108" w:type="dxa"/>
          </w:tblCellMar>
        </w:tblPrEx>
        <w:trPr>
          <w:trHeight w:val="211" w:hRule="atLeast"/>
        </w:trPr>
        <w:tc>
          <w:tcPr>
            <w:tcW w:w="883"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合计</w:t>
            </w:r>
          </w:p>
        </w:tc>
        <w:tc>
          <w:tcPr>
            <w:tcW w:w="15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c>
          <w:tcPr>
            <w:tcW w:w="108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c>
          <w:tcPr>
            <w:tcW w:w="429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76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r>
    </w:tbl>
    <w:p>
      <w:pPr>
        <w:spacing w:line="360" w:lineRule="exact"/>
        <w:ind w:firstLine="420"/>
        <w:rPr>
          <w:rFonts w:ascii="宋体" w:hAnsi="宋体" w:eastAsia="宋体"/>
          <w:sz w:val="21"/>
          <w:szCs w:val="21"/>
        </w:rPr>
      </w:pPr>
      <w:r>
        <w:rPr>
          <w:rFonts w:hint="eastAsia" w:ascii="宋体" w:hAnsi="宋体" w:eastAsia="宋体"/>
          <w:sz w:val="21"/>
          <w:szCs w:val="21"/>
        </w:rPr>
        <w:t>说明：</w:t>
      </w:r>
      <w:r>
        <w:rPr>
          <w:rFonts w:hint="eastAsia" w:ascii="宋体" w:hAnsi="宋体" w:eastAsia="宋体"/>
          <w:sz w:val="21"/>
          <w:szCs w:val="21"/>
        </w:rPr>
        <w:tab/>
      </w:r>
      <w:r>
        <w:rPr>
          <w:rFonts w:hint="eastAsia" w:ascii="宋体" w:hAnsi="宋体" w:eastAsia="宋体"/>
          <w:sz w:val="21"/>
          <w:szCs w:val="21"/>
        </w:rPr>
        <w:tab/>
      </w:r>
      <w:r>
        <w:rPr>
          <w:rFonts w:hint="eastAsia" w:ascii="宋体" w:hAnsi="宋体" w:eastAsia="宋体"/>
          <w:sz w:val="21"/>
          <w:szCs w:val="21"/>
        </w:rPr>
        <w:tab/>
      </w:r>
    </w:p>
    <w:p>
      <w:pPr>
        <w:spacing w:line="360" w:lineRule="exact"/>
        <w:ind w:firstLine="420"/>
        <w:rPr>
          <w:rFonts w:ascii="宋体" w:hAnsi="宋体" w:eastAsia="宋体"/>
          <w:sz w:val="21"/>
          <w:szCs w:val="21"/>
        </w:rPr>
      </w:pPr>
      <w:r>
        <w:rPr>
          <w:rFonts w:hint="eastAsia" w:ascii="宋体" w:hAnsi="宋体" w:eastAsia="宋体"/>
          <w:sz w:val="21"/>
          <w:szCs w:val="21"/>
        </w:rPr>
        <w:t>1.基本信息和综合检查为得分项，分值为单项得分的最高值，同一事项按分值高的计取一次；</w:t>
      </w:r>
      <w:r>
        <w:rPr>
          <w:rFonts w:hint="eastAsia" w:ascii="宋体" w:hAnsi="宋体" w:eastAsia="宋体"/>
          <w:sz w:val="21"/>
          <w:szCs w:val="21"/>
        </w:rPr>
        <w:tab/>
      </w:r>
      <w:r>
        <w:rPr>
          <w:rFonts w:hint="eastAsia" w:ascii="宋体" w:hAnsi="宋体" w:eastAsia="宋体"/>
          <w:sz w:val="21"/>
          <w:szCs w:val="21"/>
        </w:rPr>
        <w:t>2.不良行为为扣分项，扣分不封顶，分值为单次扣分值，按次累加；</w:t>
      </w:r>
      <w:r>
        <w:rPr>
          <w:rFonts w:hint="eastAsia" w:ascii="宋体" w:hAnsi="宋体" w:eastAsia="宋体"/>
          <w:sz w:val="21"/>
          <w:szCs w:val="21"/>
        </w:rPr>
        <w:tab/>
      </w:r>
      <w:r>
        <w:rPr>
          <w:rFonts w:hint="eastAsia" w:ascii="宋体" w:hAnsi="宋体" w:eastAsia="宋体"/>
          <w:sz w:val="21"/>
          <w:szCs w:val="21"/>
        </w:rPr>
        <w:tab/>
      </w:r>
      <w:r>
        <w:rPr>
          <w:rFonts w:hint="eastAsia" w:ascii="宋体" w:hAnsi="宋体" w:eastAsia="宋体"/>
          <w:sz w:val="21"/>
          <w:szCs w:val="21"/>
        </w:rPr>
        <w:tab/>
      </w:r>
    </w:p>
    <w:p>
      <w:pPr>
        <w:spacing w:line="360" w:lineRule="exact"/>
        <w:ind w:firstLine="420"/>
        <w:rPr>
          <w:rFonts w:ascii="宋体" w:hAnsi="宋体" w:eastAsia="宋体"/>
          <w:sz w:val="21"/>
          <w:szCs w:val="21"/>
        </w:rPr>
      </w:pPr>
      <w:r>
        <w:rPr>
          <w:rFonts w:hint="eastAsia" w:ascii="宋体" w:hAnsi="宋体" w:eastAsia="宋体"/>
          <w:sz w:val="21"/>
          <w:szCs w:val="21"/>
        </w:rPr>
        <w:t>3.服务评价为被评价项目的平均分；</w:t>
      </w:r>
    </w:p>
    <w:p>
      <w:pPr>
        <w:spacing w:line="360" w:lineRule="exact"/>
        <w:ind w:firstLine="420"/>
        <w:rPr>
          <w:rFonts w:ascii="宋体" w:hAnsi="宋体" w:eastAsia="宋体"/>
          <w:sz w:val="21"/>
          <w:szCs w:val="21"/>
        </w:rPr>
      </w:pPr>
      <w:r>
        <w:rPr>
          <w:rFonts w:hint="eastAsia" w:ascii="宋体" w:hAnsi="宋体" w:eastAsia="宋体"/>
          <w:sz w:val="21"/>
          <w:szCs w:val="21"/>
        </w:rPr>
        <w:t>4.单个项目的服务评价没有负面评价的，评价系统默认8分；</w:t>
      </w:r>
      <w:r>
        <w:rPr>
          <w:rFonts w:hint="eastAsia" w:ascii="宋体" w:hAnsi="宋体" w:eastAsia="宋体"/>
          <w:sz w:val="21"/>
          <w:szCs w:val="21"/>
        </w:rPr>
        <w:tab/>
      </w:r>
      <w:r>
        <w:rPr>
          <w:rFonts w:hint="eastAsia" w:ascii="宋体" w:hAnsi="宋体" w:eastAsia="宋体"/>
          <w:sz w:val="21"/>
          <w:szCs w:val="21"/>
        </w:rPr>
        <w:tab/>
      </w:r>
      <w:r>
        <w:rPr>
          <w:rFonts w:hint="eastAsia" w:ascii="宋体" w:hAnsi="宋体" w:eastAsia="宋体"/>
          <w:sz w:val="21"/>
          <w:szCs w:val="21"/>
        </w:rPr>
        <w:tab/>
      </w:r>
    </w:p>
    <w:p>
      <w:pPr>
        <w:spacing w:line="360" w:lineRule="exact"/>
        <w:ind w:firstLine="420"/>
        <w:rPr>
          <w:rFonts w:ascii="宋体" w:hAnsi="宋体" w:eastAsia="宋体"/>
          <w:sz w:val="21"/>
          <w:szCs w:val="21"/>
        </w:rPr>
      </w:pPr>
      <w:r>
        <w:rPr>
          <w:rFonts w:hint="eastAsia" w:ascii="宋体" w:hAnsi="宋体" w:eastAsia="宋体"/>
          <w:sz w:val="21"/>
          <w:szCs w:val="21"/>
        </w:rPr>
        <w:t>5.所有奖惩记录以文件签发时间为准。</w:t>
      </w:r>
    </w:p>
    <w:p>
      <w:pPr>
        <w:spacing w:line="360" w:lineRule="exact"/>
        <w:ind w:firstLine="0" w:firstLineChars="0"/>
        <w:outlineLvl w:val="0"/>
        <w:rPr>
          <w:rFonts w:ascii="宋体" w:hAnsi="宋体" w:cs="宋体"/>
          <w:kern w:val="0"/>
          <w:szCs w:val="28"/>
        </w:rPr>
      </w:pPr>
      <w:bookmarkStart w:id="1264" w:name="_Toc8242"/>
      <w:bookmarkStart w:id="1265" w:name="_Toc6558"/>
      <w:bookmarkStart w:id="1266" w:name="_Toc28338"/>
      <w:bookmarkStart w:id="1267" w:name="_Toc30148"/>
      <w:bookmarkStart w:id="1268" w:name="_Toc14067"/>
      <w:bookmarkStart w:id="1269" w:name="_Toc20687"/>
      <w:bookmarkStart w:id="1270" w:name="_Toc248"/>
      <w:bookmarkStart w:id="1271" w:name="_Toc3248"/>
      <w:bookmarkStart w:id="1272" w:name="_Toc25279"/>
      <w:bookmarkStart w:id="1273" w:name="_Toc4729"/>
      <w:r>
        <w:rPr>
          <w:rFonts w:hint="eastAsia" w:ascii="宋体" w:hAnsi="宋体" w:cs="宋体"/>
          <w:kern w:val="0"/>
          <w:szCs w:val="28"/>
        </w:rPr>
        <w:t>附表二</w:t>
      </w:r>
      <w:bookmarkEnd w:id="1264"/>
      <w:bookmarkEnd w:id="1265"/>
      <w:bookmarkEnd w:id="1266"/>
      <w:bookmarkEnd w:id="1267"/>
      <w:bookmarkEnd w:id="1268"/>
      <w:bookmarkEnd w:id="1269"/>
      <w:bookmarkEnd w:id="1270"/>
      <w:bookmarkEnd w:id="1271"/>
      <w:bookmarkEnd w:id="1272"/>
      <w:bookmarkEnd w:id="1273"/>
    </w:p>
    <w:p>
      <w:pPr>
        <w:spacing w:line="360" w:lineRule="exact"/>
        <w:ind w:firstLine="420"/>
        <w:rPr>
          <w:rFonts w:ascii="宋体" w:hAnsi="宋体" w:eastAsia="宋体"/>
          <w:sz w:val="21"/>
          <w:szCs w:val="21"/>
        </w:rPr>
      </w:pPr>
      <w:r>
        <w:rPr>
          <w:rFonts w:hint="eastAsia" w:ascii="宋体" w:hAnsi="宋体" w:eastAsia="宋体"/>
          <w:sz w:val="21"/>
          <w:szCs w:val="21"/>
        </w:rPr>
        <w:tab/>
      </w:r>
      <w:r>
        <w:rPr>
          <w:rFonts w:hint="eastAsia" w:ascii="宋体" w:hAnsi="宋体" w:eastAsia="宋体"/>
          <w:sz w:val="21"/>
          <w:szCs w:val="21"/>
        </w:rPr>
        <w:tab/>
      </w:r>
    </w:p>
    <w:p>
      <w:pPr>
        <w:ind w:firstLine="0" w:firstLineChars="0"/>
        <w:jc w:val="center"/>
        <w:rPr>
          <w:b/>
          <w:bCs/>
        </w:rPr>
      </w:pPr>
      <w:bookmarkStart w:id="1274" w:name="_Toc26933"/>
      <w:bookmarkStart w:id="1275" w:name="_Toc32420"/>
      <w:bookmarkStart w:id="1276" w:name="_Toc4719"/>
      <w:bookmarkStart w:id="1277" w:name="_Toc29211"/>
      <w:bookmarkStart w:id="1278" w:name="_Toc234"/>
      <w:bookmarkStart w:id="1279" w:name="_Toc10117"/>
      <w:bookmarkStart w:id="1280" w:name="_Toc6846"/>
      <w:bookmarkStart w:id="1281" w:name="_Toc1068"/>
      <w:bookmarkStart w:id="1282" w:name="_Toc13002"/>
      <w:bookmarkStart w:id="1283" w:name="_Toc20801"/>
      <w:bookmarkStart w:id="1284" w:name="_Toc13123"/>
      <w:bookmarkStart w:id="1285" w:name="_Toc17036"/>
      <w:r>
        <w:rPr>
          <w:rFonts w:hint="eastAsia"/>
          <w:b/>
          <w:bCs/>
        </w:rPr>
        <w:t>苏州市注册造价工程师信用评价评分标准</w:t>
      </w:r>
      <w:bookmarkEnd w:id="1274"/>
      <w:bookmarkEnd w:id="1275"/>
      <w:bookmarkEnd w:id="1276"/>
      <w:bookmarkEnd w:id="1277"/>
      <w:bookmarkEnd w:id="1278"/>
      <w:bookmarkEnd w:id="1279"/>
      <w:bookmarkEnd w:id="1280"/>
      <w:bookmarkEnd w:id="1281"/>
      <w:bookmarkEnd w:id="1282"/>
      <w:bookmarkEnd w:id="1283"/>
      <w:bookmarkEnd w:id="1284"/>
      <w:bookmarkEnd w:id="1285"/>
    </w:p>
    <w:p>
      <w:pPr>
        <w:pStyle w:val="3"/>
      </w:pPr>
    </w:p>
    <w:tbl>
      <w:tblPr>
        <w:tblStyle w:val="22"/>
        <w:tblW w:w="9640" w:type="dxa"/>
        <w:tblInd w:w="0" w:type="dxa"/>
        <w:tblLayout w:type="fixed"/>
        <w:tblCellMar>
          <w:top w:w="0" w:type="dxa"/>
          <w:left w:w="108" w:type="dxa"/>
          <w:bottom w:w="0" w:type="dxa"/>
          <w:right w:w="108" w:type="dxa"/>
        </w:tblCellMar>
      </w:tblPr>
      <w:tblGrid>
        <w:gridCol w:w="1240"/>
        <w:gridCol w:w="1660"/>
        <w:gridCol w:w="1187"/>
        <w:gridCol w:w="4200"/>
        <w:gridCol w:w="218"/>
        <w:gridCol w:w="375"/>
        <w:gridCol w:w="167"/>
        <w:gridCol w:w="593"/>
      </w:tblGrid>
      <w:tr>
        <w:tblPrEx>
          <w:tblCellMar>
            <w:top w:w="0" w:type="dxa"/>
            <w:left w:w="108" w:type="dxa"/>
            <w:bottom w:w="0" w:type="dxa"/>
            <w:right w:w="108" w:type="dxa"/>
          </w:tblCellMar>
        </w:tblPrEx>
        <w:trPr>
          <w:gridAfter w:val="1"/>
          <w:wAfter w:w="593" w:type="dxa"/>
          <w:trHeight w:val="600" w:hRule="atLeast"/>
        </w:trPr>
        <w:tc>
          <w:tcPr>
            <w:tcW w:w="1240"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项目</w:t>
            </w:r>
          </w:p>
        </w:tc>
        <w:tc>
          <w:tcPr>
            <w:tcW w:w="1660"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主要指标</w:t>
            </w:r>
          </w:p>
        </w:tc>
        <w:tc>
          <w:tcPr>
            <w:tcW w:w="1187"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序号</w:t>
            </w:r>
          </w:p>
        </w:tc>
        <w:tc>
          <w:tcPr>
            <w:tcW w:w="4200"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评分细则</w:t>
            </w:r>
          </w:p>
        </w:tc>
        <w:tc>
          <w:tcPr>
            <w:tcW w:w="760" w:type="dxa"/>
            <w:gridSpan w:val="3"/>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分值</w:t>
            </w:r>
          </w:p>
        </w:tc>
      </w:tr>
      <w:tr>
        <w:tblPrEx>
          <w:tblCellMar>
            <w:top w:w="0" w:type="dxa"/>
            <w:left w:w="108" w:type="dxa"/>
            <w:bottom w:w="0" w:type="dxa"/>
            <w:right w:w="108" w:type="dxa"/>
          </w:tblCellMar>
        </w:tblPrEx>
        <w:trPr>
          <w:gridAfter w:val="1"/>
          <w:wAfter w:w="593" w:type="dxa"/>
          <w:trHeight w:val="600" w:hRule="atLeast"/>
        </w:trPr>
        <w:tc>
          <w:tcPr>
            <w:tcW w:w="1240" w:type="dxa"/>
            <w:vMerge w:val="restart"/>
            <w:tcBorders>
              <w:top w:val="single" w:color="auto" w:sz="4" w:space="0"/>
              <w:left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p>
            <w:pPr>
              <w:widowControl/>
              <w:numPr>
                <w:ilvl w:val="0"/>
                <w:numId w:val="5"/>
              </w:numPr>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基本</w:t>
            </w:r>
          </w:p>
          <w:p>
            <w:pPr>
              <w:widowControl/>
              <w:spacing w:line="320" w:lineRule="exact"/>
              <w:ind w:firstLine="0" w:firstLineChars="0"/>
              <w:rPr>
                <w:rFonts w:ascii="宋体" w:hAnsi="宋体" w:eastAsia="宋体" w:cs="宋体"/>
                <w:b/>
                <w:kern w:val="0"/>
                <w:sz w:val="21"/>
                <w:szCs w:val="21"/>
              </w:rPr>
            </w:pPr>
            <w:r>
              <w:rPr>
                <w:rFonts w:hint="eastAsia" w:ascii="宋体" w:hAnsi="宋体" w:eastAsia="宋体" w:cs="宋体"/>
                <w:b/>
                <w:bCs/>
                <w:kern w:val="0"/>
                <w:sz w:val="21"/>
                <w:szCs w:val="21"/>
              </w:rPr>
              <w:t>信息</w:t>
            </w:r>
            <w:r>
              <w:rPr>
                <w:rFonts w:hint="eastAsia" w:ascii="宋体" w:hAnsi="宋体" w:eastAsia="宋体" w:cs="宋体"/>
                <w:b/>
                <w:kern w:val="0"/>
                <w:sz w:val="21"/>
                <w:szCs w:val="21"/>
              </w:rPr>
              <w:t>75分</w:t>
            </w:r>
          </w:p>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c>
          <w:tcPr>
            <w:tcW w:w="1660" w:type="dxa"/>
            <w:tcBorders>
              <w:top w:val="single" w:color="auto" w:sz="4" w:space="0"/>
              <w:left w:val="nil"/>
              <w:bottom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1.1.1</w:t>
            </w:r>
          </w:p>
        </w:tc>
        <w:tc>
          <w:tcPr>
            <w:tcW w:w="4200" w:type="dxa"/>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完成证章、专业、职称等个人信息填报</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1.1执业资格</w:t>
            </w:r>
          </w:p>
        </w:tc>
        <w:tc>
          <w:tcPr>
            <w:tcW w:w="1187"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1.1.2</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职称为高级的得5分，中级的得3分</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37</w:t>
            </w:r>
          </w:p>
        </w:tc>
        <w:tc>
          <w:tcPr>
            <w:tcW w:w="1187"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1.1.3</w:t>
            </w:r>
          </w:p>
        </w:tc>
        <w:tc>
          <w:tcPr>
            <w:tcW w:w="4200"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一级造价师得15分，二级造价师得7分</w:t>
            </w:r>
          </w:p>
        </w:tc>
        <w:tc>
          <w:tcPr>
            <w:tcW w:w="760" w:type="dxa"/>
            <w:gridSpan w:val="3"/>
            <w:tcBorders>
              <w:top w:val="single" w:color="auto" w:sz="4" w:space="0"/>
              <w:left w:val="nil"/>
              <w:bottom w:val="single" w:color="auto" w:sz="4" w:space="0"/>
              <w:right w:val="single" w:color="auto" w:sz="4" w:space="0"/>
            </w:tcBorders>
            <w:shd w:val="clear" w:color="000000" w:fill="FFFFFF"/>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shd w:val="clear" w:color="auto" w:fill="auto"/>
            <w:noWrap/>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1.1.4</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按时完成继续教育的</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810" w:hRule="atLeast"/>
        </w:trPr>
        <w:tc>
          <w:tcPr>
            <w:tcW w:w="1240" w:type="dxa"/>
            <w:vMerge w:val="continue"/>
            <w:tcBorders>
              <w:left w:val="single" w:color="auto" w:sz="4" w:space="0"/>
              <w:right w:val="single" w:color="auto" w:sz="4" w:space="0"/>
            </w:tcBorders>
            <w:noWrap/>
            <w:vAlign w:val="bottom"/>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1.2服务评价</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1.2.1</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注册单位对其服务意识、执业水平、行为规范、沟通协调等综合执业能力的满意程度测评</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10</w:t>
            </w:r>
          </w:p>
        </w:tc>
      </w:tr>
      <w:tr>
        <w:tblPrEx>
          <w:tblCellMar>
            <w:top w:w="0" w:type="dxa"/>
            <w:left w:w="108" w:type="dxa"/>
            <w:bottom w:w="0" w:type="dxa"/>
            <w:right w:w="108" w:type="dxa"/>
          </w:tblCellMar>
        </w:tblPrEx>
        <w:trPr>
          <w:gridAfter w:val="1"/>
          <w:wAfter w:w="593" w:type="dxa"/>
          <w:trHeight w:val="855" w:hRule="atLeast"/>
        </w:trPr>
        <w:tc>
          <w:tcPr>
            <w:tcW w:w="1240" w:type="dxa"/>
            <w:vMerge w:val="continue"/>
            <w:tcBorders>
              <w:left w:val="single" w:color="auto" w:sz="4" w:space="0"/>
              <w:right w:val="single" w:color="auto" w:sz="4" w:space="0"/>
            </w:tcBorders>
            <w:noWrap/>
            <w:vAlign w:val="bottom"/>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20分</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1.2.2</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服务对象对其服务意识、执业水平、行为规范、沟通协调等综合执业能力的满意程度测评</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10</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1.3.1</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完成PPP或EPC项目造价咨询业务的，每个项目得1分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1.3拓展业务能力</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1.3.2</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完成特大型桥梁工程或高速公路项目造价咨询业务的，每个项目得1分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rPr>
                <w:rFonts w:ascii="宋体" w:hAnsi="宋体" w:eastAsia="宋体" w:cs="宋体"/>
                <w:b/>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8分</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1.3.3</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完成铁路或地铁项目土建或铺轨或机电工程的造价咨询业务的，每个项目得1分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1130" w:hRule="atLeast"/>
        </w:trPr>
        <w:tc>
          <w:tcPr>
            <w:tcW w:w="1240" w:type="dxa"/>
            <w:vMerge w:val="continue"/>
            <w:tcBorders>
              <w:left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1.3.4</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完成100米及以上超高层或3层及以上深基坑建筑项目或机场候机楼、体育场馆、影剧院、展览馆、博物馆等特殊建筑的造价咨询业务的，每个项目得1分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960"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1.4.1</w:t>
            </w:r>
          </w:p>
        </w:tc>
        <w:tc>
          <w:tcPr>
            <w:tcW w:w="4200" w:type="dxa"/>
            <w:tcBorders>
              <w:top w:val="single" w:color="auto" w:sz="4" w:space="0"/>
              <w:left w:val="nil"/>
              <w:bottom w:val="single" w:color="auto" w:sz="4" w:space="0"/>
              <w:right w:val="nil"/>
            </w:tcBorders>
            <w:vAlign w:val="center"/>
          </w:tcPr>
          <w:p>
            <w:pPr>
              <w:widowControl/>
              <w:spacing w:line="32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获得造价管理部门或造价行业协会的综合表彰的,每获县区级一项加0.5分，每获市级一项加1分,每获省级一项加2分，每获国家级一项加3分</w:t>
            </w:r>
          </w:p>
        </w:tc>
        <w:tc>
          <w:tcPr>
            <w:tcW w:w="760" w:type="dxa"/>
            <w:gridSpan w:val="3"/>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gridAfter w:val="1"/>
          <w:wAfter w:w="593" w:type="dxa"/>
          <w:trHeight w:val="1093"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single" w:color="auto" w:sz="4" w:space="0"/>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1.4良好行为</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1.4.2</w:t>
            </w:r>
          </w:p>
        </w:tc>
        <w:tc>
          <w:tcPr>
            <w:tcW w:w="4200" w:type="dxa"/>
            <w:tcBorders>
              <w:top w:val="single" w:color="auto" w:sz="4" w:space="0"/>
              <w:left w:val="nil"/>
              <w:bottom w:val="single" w:color="auto" w:sz="4" w:space="0"/>
              <w:right w:val="nil"/>
            </w:tcBorders>
            <w:vAlign w:val="center"/>
          </w:tcPr>
          <w:p>
            <w:pPr>
              <w:widowControl/>
              <w:spacing w:line="32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获市级及以上行业主管部门或行业协会组织的各类造价业务技能竞赛名次或奖励的，每获市级一项加1分,每获省级一项加2分，每获国家级一项加3分</w:t>
            </w:r>
          </w:p>
        </w:tc>
        <w:tc>
          <w:tcPr>
            <w:tcW w:w="760" w:type="dxa"/>
            <w:gridSpan w:val="3"/>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CellMar>
            <w:top w:w="0" w:type="dxa"/>
            <w:left w:w="108" w:type="dxa"/>
            <w:bottom w:w="0" w:type="dxa"/>
            <w:right w:w="108" w:type="dxa"/>
          </w:tblCellMar>
        </w:tblPrEx>
        <w:trPr>
          <w:gridAfter w:val="1"/>
          <w:wAfter w:w="593" w:type="dxa"/>
          <w:trHeight w:val="823" w:hRule="atLeast"/>
        </w:trPr>
        <w:tc>
          <w:tcPr>
            <w:tcW w:w="1240" w:type="dxa"/>
            <w:vMerge w:val="continue"/>
            <w:tcBorders>
              <w:left w:val="single" w:color="auto" w:sz="4" w:space="0"/>
              <w:bottom w:val="single" w:color="auto" w:sz="4" w:space="0"/>
              <w:right w:val="single" w:color="auto" w:sz="4" w:space="0"/>
            </w:tcBorders>
            <w:shd w:val="clear" w:color="auto" w:fill="auto"/>
            <w:vAlign w:val="center"/>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shd w:val="clear" w:color="auto" w:fill="auto"/>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10分</w:t>
            </w:r>
          </w:p>
        </w:tc>
        <w:tc>
          <w:tcPr>
            <w:tcW w:w="1187" w:type="dxa"/>
            <w:tcBorders>
              <w:top w:val="single" w:color="auto" w:sz="4" w:space="0"/>
              <w:left w:val="nil"/>
              <w:bottom w:val="single" w:color="auto" w:sz="4" w:space="0"/>
              <w:right w:val="single" w:color="auto" w:sz="4" w:space="0"/>
            </w:tcBorders>
            <w:shd w:val="clear" w:color="auto" w:fill="auto"/>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1.4.3</w:t>
            </w:r>
          </w:p>
        </w:tc>
        <w:tc>
          <w:tcPr>
            <w:tcW w:w="4200" w:type="dxa"/>
            <w:tcBorders>
              <w:top w:val="single" w:color="auto" w:sz="4" w:space="0"/>
              <w:left w:val="nil"/>
              <w:bottom w:val="single" w:color="auto" w:sz="4" w:space="0"/>
              <w:right w:val="single" w:color="auto" w:sz="4" w:space="0"/>
            </w:tcBorders>
            <w:shd w:val="clear" w:color="000000" w:fill="FFFFFF"/>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参与造价管理部门组织的定额修编等工作的，市级每次加1分，省级每次加1.5分，国家级每次2分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720" w:hRule="atLeast"/>
        </w:trPr>
        <w:tc>
          <w:tcPr>
            <w:tcW w:w="1240" w:type="dxa"/>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1.4.4</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参与市造价处组织的专项检查、培训授课、技术信息采集等工作的，每次加0.5分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975" w:hRule="atLeast"/>
        </w:trPr>
        <w:tc>
          <w:tcPr>
            <w:tcW w:w="1240"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p>
          <w:p>
            <w:pPr>
              <w:widowControl/>
              <w:spacing w:line="320" w:lineRule="exact"/>
              <w:ind w:firstLine="0" w:firstLineChars="0"/>
              <w:jc w:val="center"/>
              <w:rPr>
                <w:rFonts w:ascii="宋体" w:hAnsi="宋体" w:eastAsia="宋体" w:cs="宋体"/>
                <w:b/>
                <w:bCs/>
                <w:kern w:val="0"/>
                <w:sz w:val="21"/>
                <w:szCs w:val="21"/>
              </w:rPr>
            </w:pPr>
          </w:p>
          <w:p>
            <w:pPr>
              <w:widowControl/>
              <w:spacing w:line="320" w:lineRule="exact"/>
              <w:ind w:firstLine="0" w:firstLineChars="0"/>
              <w:jc w:val="center"/>
              <w:rPr>
                <w:rFonts w:ascii="宋体" w:hAnsi="宋体" w:eastAsia="宋体" w:cs="宋体"/>
                <w:b/>
                <w:bCs/>
                <w:kern w:val="0"/>
                <w:sz w:val="21"/>
                <w:szCs w:val="21"/>
              </w:rPr>
            </w:pPr>
          </w:p>
          <w:p>
            <w:pPr>
              <w:widowControl/>
              <w:spacing w:line="320" w:lineRule="exact"/>
              <w:ind w:firstLine="0" w:firstLineChars="0"/>
              <w:jc w:val="center"/>
              <w:rPr>
                <w:rFonts w:ascii="宋体" w:hAnsi="宋体" w:eastAsia="宋体" w:cs="宋体"/>
                <w:b/>
                <w:bCs/>
                <w:kern w:val="0"/>
                <w:sz w:val="21"/>
                <w:szCs w:val="21"/>
              </w:rPr>
            </w:pPr>
          </w:p>
          <w:p>
            <w:pPr>
              <w:widowControl/>
              <w:numPr>
                <w:ilvl w:val="0"/>
                <w:numId w:val="5"/>
              </w:numPr>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综合</w:t>
            </w:r>
          </w:p>
          <w:p>
            <w:pPr>
              <w:widowControl/>
              <w:spacing w:line="320" w:lineRule="exact"/>
              <w:ind w:firstLine="0" w:firstLineChars="0"/>
              <w:rPr>
                <w:rFonts w:ascii="宋体" w:hAnsi="宋体" w:eastAsia="宋体" w:cs="宋体"/>
                <w:b/>
                <w:bCs/>
                <w:kern w:val="0"/>
                <w:sz w:val="21"/>
                <w:szCs w:val="21"/>
              </w:rPr>
            </w:pPr>
            <w:r>
              <w:rPr>
                <w:rFonts w:hint="eastAsia" w:ascii="宋体" w:hAnsi="宋体" w:eastAsia="宋体" w:cs="宋体"/>
                <w:b/>
                <w:bCs/>
                <w:kern w:val="0"/>
                <w:sz w:val="21"/>
                <w:szCs w:val="21"/>
              </w:rPr>
              <w:t>检查</w:t>
            </w:r>
            <w:r>
              <w:rPr>
                <w:rFonts w:hint="eastAsia" w:ascii="宋体" w:hAnsi="宋体" w:eastAsia="宋体" w:cs="宋体"/>
                <w:b/>
                <w:kern w:val="0"/>
                <w:sz w:val="21"/>
                <w:szCs w:val="21"/>
              </w:rPr>
              <w:t>30分</w:t>
            </w:r>
          </w:p>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p>
            <w:pPr>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660" w:type="dxa"/>
            <w:vMerge w:val="restart"/>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2.1行为规范</w:t>
            </w:r>
          </w:p>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kern w:val="0"/>
                <w:sz w:val="21"/>
                <w:szCs w:val="21"/>
              </w:rPr>
              <w:t>10分</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2.1.1</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在日常监管过程中，因未严格执行计价规范或计价依据导致咨询成果质量存在问题，被造价管理部门约谈确认的，每次扣1-2分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855" w:hRule="atLeast"/>
        </w:trPr>
        <w:tc>
          <w:tcPr>
            <w:tcW w:w="1240" w:type="dxa"/>
            <w:vMerge w:val="continue"/>
            <w:tcBorders>
              <w:top w:val="single" w:color="auto" w:sz="4" w:space="0"/>
              <w:left w:val="single" w:color="auto" w:sz="4" w:space="0"/>
              <w:bottom w:val="single" w:color="auto" w:sz="4" w:space="0"/>
              <w:right w:val="single" w:color="auto" w:sz="4" w:space="0"/>
            </w:tcBorders>
            <w:vAlign w:val="center"/>
          </w:tcPr>
          <w:p>
            <w:pPr>
              <w:spacing w:line="320" w:lineRule="exact"/>
              <w:ind w:firstLine="0" w:firstLineChars="0"/>
              <w:jc w:val="center"/>
              <w:rPr>
                <w:rFonts w:ascii="宋体" w:hAnsi="宋体" w:eastAsia="宋体" w:cs="宋体"/>
                <w:kern w:val="0"/>
                <w:sz w:val="21"/>
                <w:szCs w:val="21"/>
              </w:rPr>
            </w:pPr>
          </w:p>
        </w:tc>
        <w:tc>
          <w:tcPr>
            <w:tcW w:w="1660" w:type="dxa"/>
            <w:vMerge w:val="continue"/>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2.1.2</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在日常监管过程中，因未严格执行计价规范或计价依据导致咨询成果质量存在问题，被造价管理部门要求整改的，每次扣1-2分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top w:val="single" w:color="auto" w:sz="4" w:space="0"/>
              <w:left w:val="single" w:color="auto" w:sz="4" w:space="0"/>
              <w:bottom w:val="single" w:color="auto" w:sz="4" w:space="0"/>
              <w:right w:val="single" w:color="auto" w:sz="4" w:space="0"/>
            </w:tcBorders>
            <w:vAlign w:val="center"/>
          </w:tcPr>
          <w:p>
            <w:pPr>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2.2.1</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归档资料不符合《江苏省工程造价咨询业务指导规程》的，每缺少一项扣1分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top w:val="single" w:color="auto" w:sz="4" w:space="0"/>
              <w:left w:val="single" w:color="auto" w:sz="4" w:space="0"/>
              <w:bottom w:val="single" w:color="auto" w:sz="4" w:space="0"/>
              <w:right w:val="single" w:color="auto" w:sz="4" w:space="0"/>
            </w:tcBorders>
            <w:vAlign w:val="center"/>
          </w:tcPr>
          <w:p>
            <w:pPr>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2.2质量检查</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2.2.2</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咨询成果文件编制操作规范，盖章、签字齐全的，每缺少一项扣1分</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810" w:hRule="atLeast"/>
        </w:trPr>
        <w:tc>
          <w:tcPr>
            <w:tcW w:w="1240" w:type="dxa"/>
            <w:vMerge w:val="continue"/>
            <w:tcBorders>
              <w:top w:val="single" w:color="auto" w:sz="4" w:space="0"/>
              <w:left w:val="single" w:color="auto" w:sz="4" w:space="0"/>
              <w:bottom w:val="single" w:color="auto" w:sz="4" w:space="0"/>
              <w:right w:val="single" w:color="auto" w:sz="4" w:space="0"/>
            </w:tcBorders>
            <w:noWrap/>
            <w:vAlign w:val="bottom"/>
          </w:tcPr>
          <w:p>
            <w:pPr>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20分</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2.2.3</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咨询成果文件中，计算的工程量、套用的定额、基价、计价程序、取费标准（包括规费）不准确，每发现一处扣1分</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2.2.4</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咨询成果编制依据不正确或咨询成果文件的格式不符合要求的，每发现一处扣1分</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restart"/>
            <w:tcBorders>
              <w:top w:val="single" w:color="auto" w:sz="4" w:space="0"/>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　</w:t>
            </w:r>
          </w:p>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p>
            <w:pPr>
              <w:widowControl/>
              <w:numPr>
                <w:ilvl w:val="0"/>
                <w:numId w:val="5"/>
              </w:numPr>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不良</w:t>
            </w:r>
          </w:p>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行为</w:t>
            </w:r>
          </w:p>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3.1.1</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存在挂靠行为</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vAlign w:val="bottom"/>
          </w:tcPr>
          <w:p>
            <w:pPr>
              <w:widowControl/>
              <w:spacing w:line="320" w:lineRule="exact"/>
              <w:ind w:firstLine="0" w:firstLineChars="0"/>
              <w:jc w:val="center"/>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3.1.2</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以个人名义承接工程造价业务</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3.1.3</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允许他人以自己名义从事工程造价业务</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3.1.4</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无正当理由故意拖延项目结算审结行为</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p>
        </w:tc>
        <w:tc>
          <w:tcPr>
            <w:tcW w:w="166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3.1不良行为</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w:t>
            </w:r>
            <w:r>
              <w:rPr>
                <w:rFonts w:ascii="宋体" w:hAnsi="宋体" w:eastAsia="宋体" w:cs="宋体"/>
                <w:kern w:val="0"/>
                <w:sz w:val="21"/>
                <w:szCs w:val="21"/>
              </w:rPr>
              <w:t>5</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rPr>
                <w:rFonts w:ascii="宋体" w:hAnsi="宋体" w:eastAsia="宋体" w:cs="宋体"/>
                <w:kern w:val="0"/>
                <w:sz w:val="21"/>
                <w:szCs w:val="21"/>
              </w:rPr>
            </w:pPr>
            <w:r>
              <w:rPr>
                <w:rFonts w:hint="eastAsia" w:ascii="宋体" w:hAnsi="宋体" w:eastAsia="宋体" w:cs="宋体"/>
                <w:kern w:val="0"/>
                <w:sz w:val="21"/>
                <w:szCs w:val="21"/>
              </w:rPr>
              <w:t>无正当理由不配合造价管理部门调解</w:t>
            </w:r>
          </w:p>
        </w:tc>
        <w:tc>
          <w:tcPr>
            <w:tcW w:w="760" w:type="dxa"/>
            <w:gridSpan w:val="3"/>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2</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w:t>
            </w:r>
            <w:r>
              <w:rPr>
                <w:rFonts w:ascii="宋体" w:hAnsi="宋体" w:eastAsia="宋体" w:cs="宋体"/>
                <w:kern w:val="0"/>
                <w:sz w:val="21"/>
                <w:szCs w:val="21"/>
              </w:rPr>
              <w:t>6</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在执业过程中，索贿、受贿或谋取全同约定费用外的其他利益</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w:t>
            </w:r>
            <w:r>
              <w:rPr>
                <w:rFonts w:ascii="宋体" w:hAnsi="宋体" w:eastAsia="宋体" w:cs="宋体"/>
                <w:kern w:val="0"/>
                <w:sz w:val="21"/>
                <w:szCs w:val="21"/>
              </w:rPr>
              <w:t>7</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签署有虚假记载、误导性陈述的工程造价成果文件</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00" w:hRule="atLeast"/>
        </w:trPr>
        <w:tc>
          <w:tcPr>
            <w:tcW w:w="1240" w:type="dxa"/>
            <w:vMerge w:val="continue"/>
            <w:tcBorders>
              <w:left w:val="single" w:color="auto" w:sz="4" w:space="0"/>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1660" w:type="dxa"/>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center"/>
              <w:rPr>
                <w:rFonts w:ascii="宋体" w:hAnsi="宋体" w:eastAsia="宋体" w:cs="宋体"/>
                <w:kern w:val="0"/>
                <w:sz w:val="21"/>
                <w:szCs w:val="21"/>
              </w:rPr>
            </w:pPr>
            <w:r>
              <w:rPr>
                <w:rFonts w:hint="eastAsia" w:ascii="宋体" w:hAnsi="宋体" w:eastAsia="宋体" w:cs="宋体"/>
                <w:kern w:val="0"/>
                <w:sz w:val="21"/>
                <w:szCs w:val="21"/>
              </w:rPr>
              <w:t>3.1.</w:t>
            </w:r>
            <w:r>
              <w:rPr>
                <w:rFonts w:ascii="宋体" w:hAnsi="宋体" w:eastAsia="宋体" w:cs="宋体"/>
                <w:kern w:val="0"/>
                <w:sz w:val="21"/>
                <w:szCs w:val="21"/>
              </w:rPr>
              <w:t>8</w:t>
            </w:r>
          </w:p>
        </w:tc>
        <w:tc>
          <w:tcPr>
            <w:tcW w:w="4200" w:type="dxa"/>
            <w:tcBorders>
              <w:top w:val="single" w:color="auto" w:sz="4" w:space="0"/>
              <w:left w:val="nil"/>
              <w:bottom w:val="single" w:color="auto" w:sz="4" w:space="0"/>
              <w:right w:val="single" w:color="auto" w:sz="4" w:space="0"/>
            </w:tcBorders>
            <w:vAlign w:val="center"/>
          </w:tcPr>
          <w:p>
            <w:pPr>
              <w:widowControl/>
              <w:spacing w:line="320" w:lineRule="exact"/>
              <w:ind w:firstLine="0" w:firstLineChars="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法律、法规禁止的其他行为</w:t>
            </w:r>
          </w:p>
        </w:tc>
        <w:tc>
          <w:tcPr>
            <w:tcW w:w="760" w:type="dxa"/>
            <w:gridSpan w:val="3"/>
            <w:tcBorders>
              <w:top w:val="single" w:color="auto" w:sz="4" w:space="0"/>
              <w:left w:val="nil"/>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kern w:val="0"/>
                <w:sz w:val="21"/>
                <w:szCs w:val="21"/>
              </w:rPr>
            </w:pPr>
            <w:r>
              <w:rPr>
                <w:rFonts w:ascii="宋体" w:hAnsi="宋体" w:eastAsia="宋体" w:cs="宋体"/>
                <w:kern w:val="0"/>
                <w:sz w:val="21"/>
                <w:szCs w:val="21"/>
              </w:rPr>
              <w:t>5</w:t>
            </w:r>
          </w:p>
        </w:tc>
      </w:tr>
      <w:tr>
        <w:tblPrEx>
          <w:tblCellMar>
            <w:top w:w="0" w:type="dxa"/>
            <w:left w:w="108" w:type="dxa"/>
            <w:bottom w:w="0" w:type="dxa"/>
            <w:right w:w="108" w:type="dxa"/>
          </w:tblCellMar>
        </w:tblPrEx>
        <w:trPr>
          <w:gridAfter w:val="1"/>
          <w:wAfter w:w="593" w:type="dxa"/>
          <w:trHeight w:val="675" w:hRule="atLeast"/>
        </w:trPr>
        <w:tc>
          <w:tcPr>
            <w:tcW w:w="1240" w:type="dxa"/>
            <w:tcBorders>
              <w:top w:val="single" w:color="auto" w:sz="4" w:space="0"/>
              <w:left w:val="single" w:color="auto" w:sz="4" w:space="0"/>
              <w:bottom w:val="single" w:color="auto" w:sz="4" w:space="0"/>
              <w:right w:val="single" w:color="auto" w:sz="4" w:space="0"/>
            </w:tcBorders>
            <w:noWrap/>
            <w:vAlign w:val="center"/>
          </w:tcPr>
          <w:p>
            <w:pPr>
              <w:widowControl/>
              <w:spacing w:line="320" w:lineRule="exact"/>
              <w:ind w:firstLine="0" w:firstLineChars="0"/>
              <w:jc w:val="center"/>
              <w:rPr>
                <w:rFonts w:ascii="宋体" w:hAnsi="宋体" w:eastAsia="宋体" w:cs="宋体"/>
                <w:b/>
                <w:bCs/>
                <w:kern w:val="0"/>
                <w:sz w:val="21"/>
                <w:szCs w:val="21"/>
              </w:rPr>
            </w:pPr>
            <w:r>
              <w:rPr>
                <w:rFonts w:hint="eastAsia" w:ascii="宋体" w:hAnsi="宋体" w:eastAsia="宋体" w:cs="宋体"/>
                <w:b/>
                <w:bCs/>
                <w:kern w:val="0"/>
                <w:sz w:val="21"/>
                <w:szCs w:val="21"/>
              </w:rPr>
              <w:t>合计</w:t>
            </w:r>
          </w:p>
        </w:tc>
        <w:tc>
          <w:tcPr>
            <w:tcW w:w="1660" w:type="dxa"/>
            <w:tcBorders>
              <w:top w:val="single" w:color="auto" w:sz="4" w:space="0"/>
              <w:left w:val="nil"/>
              <w:bottom w:val="single" w:color="auto" w:sz="4" w:space="0"/>
              <w:right w:val="nil"/>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1187" w:type="dxa"/>
            <w:tcBorders>
              <w:top w:val="single" w:color="auto" w:sz="4" w:space="0"/>
              <w:left w:val="single" w:color="auto" w:sz="4" w:space="0"/>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4200" w:type="dxa"/>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c>
          <w:tcPr>
            <w:tcW w:w="760" w:type="dxa"/>
            <w:gridSpan w:val="3"/>
            <w:tcBorders>
              <w:top w:val="single" w:color="auto" w:sz="4" w:space="0"/>
              <w:left w:val="nil"/>
              <w:bottom w:val="single" w:color="auto" w:sz="4" w:space="0"/>
              <w:right w:val="single" w:color="auto" w:sz="4" w:space="0"/>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　</w:t>
            </w:r>
          </w:p>
        </w:tc>
      </w:tr>
      <w:tr>
        <w:tblPrEx>
          <w:tblCellMar>
            <w:top w:w="0" w:type="dxa"/>
            <w:left w:w="108" w:type="dxa"/>
            <w:bottom w:w="0" w:type="dxa"/>
            <w:right w:w="108" w:type="dxa"/>
          </w:tblCellMar>
        </w:tblPrEx>
        <w:trPr>
          <w:gridAfter w:val="1"/>
          <w:wAfter w:w="593" w:type="dxa"/>
          <w:trHeight w:val="406" w:hRule="atLeast"/>
        </w:trPr>
        <w:tc>
          <w:tcPr>
            <w:tcW w:w="1240" w:type="dxa"/>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说明</w:t>
            </w:r>
          </w:p>
        </w:tc>
        <w:tc>
          <w:tcPr>
            <w:tcW w:w="1660" w:type="dxa"/>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1187" w:type="dxa"/>
            <w:tcBorders>
              <w:top w:val="nil"/>
              <w:left w:val="nil"/>
              <w:bottom w:val="nil"/>
              <w:right w:val="nil"/>
            </w:tcBorders>
            <w:noWrap/>
            <w:vAlign w:val="bottom"/>
          </w:tcPr>
          <w:p>
            <w:pPr>
              <w:widowControl/>
              <w:spacing w:line="320" w:lineRule="exact"/>
              <w:ind w:firstLine="0" w:firstLineChars="0"/>
              <w:jc w:val="left"/>
              <w:rPr>
                <w:rFonts w:ascii="宋体" w:hAnsi="宋体" w:eastAsia="宋体"/>
                <w:kern w:val="0"/>
                <w:sz w:val="21"/>
                <w:szCs w:val="21"/>
              </w:rPr>
            </w:pPr>
          </w:p>
        </w:tc>
        <w:tc>
          <w:tcPr>
            <w:tcW w:w="4200" w:type="dxa"/>
            <w:tcBorders>
              <w:top w:val="nil"/>
              <w:left w:val="nil"/>
              <w:bottom w:val="nil"/>
              <w:right w:val="nil"/>
            </w:tcBorders>
            <w:noWrap/>
            <w:vAlign w:val="bottom"/>
          </w:tcPr>
          <w:p>
            <w:pPr>
              <w:widowControl/>
              <w:spacing w:line="320" w:lineRule="exact"/>
              <w:ind w:firstLine="0" w:firstLineChars="0"/>
              <w:jc w:val="left"/>
              <w:rPr>
                <w:rFonts w:ascii="宋体" w:hAnsi="宋体" w:eastAsia="宋体"/>
                <w:kern w:val="0"/>
                <w:sz w:val="21"/>
                <w:szCs w:val="21"/>
              </w:rPr>
            </w:pPr>
          </w:p>
        </w:tc>
        <w:tc>
          <w:tcPr>
            <w:tcW w:w="760" w:type="dxa"/>
            <w:gridSpan w:val="3"/>
            <w:tcBorders>
              <w:top w:val="nil"/>
              <w:left w:val="nil"/>
              <w:bottom w:val="nil"/>
              <w:right w:val="nil"/>
            </w:tcBorders>
            <w:noWrap/>
            <w:vAlign w:val="bottom"/>
          </w:tcPr>
          <w:p>
            <w:pPr>
              <w:widowControl/>
              <w:spacing w:line="320" w:lineRule="exact"/>
              <w:ind w:firstLine="0" w:firstLineChars="0"/>
              <w:jc w:val="left"/>
              <w:rPr>
                <w:rFonts w:ascii="宋体" w:hAnsi="宋体" w:eastAsia="宋体"/>
                <w:kern w:val="0"/>
                <w:sz w:val="21"/>
                <w:szCs w:val="21"/>
              </w:rPr>
            </w:pPr>
          </w:p>
        </w:tc>
      </w:tr>
      <w:tr>
        <w:tblPrEx>
          <w:tblCellMar>
            <w:top w:w="0" w:type="dxa"/>
            <w:left w:w="108" w:type="dxa"/>
            <w:bottom w:w="0" w:type="dxa"/>
            <w:right w:w="108" w:type="dxa"/>
          </w:tblCellMar>
        </w:tblPrEx>
        <w:trPr>
          <w:trHeight w:val="300" w:hRule="atLeast"/>
        </w:trPr>
        <w:tc>
          <w:tcPr>
            <w:tcW w:w="8880" w:type="dxa"/>
            <w:gridSpan w:val="6"/>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1.</w:t>
            </w:r>
            <w:r>
              <w:rPr>
                <w:rFonts w:hint="eastAsia" w:ascii="宋体" w:hAnsi="宋体" w:eastAsia="宋体"/>
                <w:sz w:val="21"/>
                <w:szCs w:val="21"/>
              </w:rPr>
              <w:t>基本信息和综合检查为得分项，分值为单项得分的最高值，同一事项按分值高的计取一次；</w:t>
            </w:r>
          </w:p>
        </w:tc>
        <w:tc>
          <w:tcPr>
            <w:tcW w:w="760" w:type="dxa"/>
            <w:gridSpan w:val="2"/>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p>
        </w:tc>
      </w:tr>
      <w:tr>
        <w:tblPrEx>
          <w:tblCellMar>
            <w:top w:w="0" w:type="dxa"/>
            <w:left w:w="108" w:type="dxa"/>
            <w:bottom w:w="0" w:type="dxa"/>
            <w:right w:w="108" w:type="dxa"/>
          </w:tblCellMar>
        </w:tblPrEx>
        <w:trPr>
          <w:trHeight w:val="300" w:hRule="atLeast"/>
        </w:trPr>
        <w:tc>
          <w:tcPr>
            <w:tcW w:w="8505" w:type="dxa"/>
            <w:gridSpan w:val="5"/>
            <w:tcBorders>
              <w:top w:val="nil"/>
              <w:left w:val="nil"/>
              <w:bottom w:val="nil"/>
              <w:right w:val="nil"/>
            </w:tcBorders>
            <w:noWrap/>
            <w:vAlign w:val="bottom"/>
          </w:tcPr>
          <w:p>
            <w:pPr>
              <w:widowControl/>
              <w:spacing w:line="320" w:lineRule="exact"/>
              <w:ind w:right="-7190" w:rightChars="-2568" w:firstLine="0" w:firstLineChars="0"/>
              <w:jc w:val="left"/>
              <w:rPr>
                <w:rFonts w:ascii="宋体" w:hAnsi="宋体" w:eastAsia="宋体" w:cs="宋体"/>
                <w:kern w:val="0"/>
                <w:sz w:val="21"/>
                <w:szCs w:val="21"/>
              </w:rPr>
            </w:pPr>
            <w:r>
              <w:rPr>
                <w:rFonts w:hint="eastAsia" w:ascii="宋体" w:hAnsi="宋体" w:eastAsia="宋体" w:cs="宋体"/>
                <w:kern w:val="0"/>
                <w:sz w:val="21"/>
                <w:szCs w:val="21"/>
              </w:rPr>
              <w:t>2.</w:t>
            </w:r>
            <w:r>
              <w:rPr>
                <w:rFonts w:hint="eastAsia" w:ascii="宋体" w:hAnsi="宋体" w:eastAsia="宋体"/>
                <w:sz w:val="21"/>
                <w:szCs w:val="21"/>
              </w:rPr>
              <w:t>不良行为为扣分项，扣分不封顶，分值为单次扣分值，按次累加；</w:t>
            </w:r>
          </w:p>
        </w:tc>
        <w:tc>
          <w:tcPr>
            <w:tcW w:w="375" w:type="dxa"/>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760" w:type="dxa"/>
            <w:gridSpan w:val="2"/>
            <w:tcBorders>
              <w:top w:val="nil"/>
              <w:left w:val="nil"/>
              <w:bottom w:val="nil"/>
              <w:right w:val="nil"/>
            </w:tcBorders>
            <w:noWrap/>
            <w:vAlign w:val="bottom"/>
          </w:tcPr>
          <w:p>
            <w:pPr>
              <w:widowControl/>
              <w:spacing w:line="320" w:lineRule="exact"/>
              <w:ind w:firstLine="0" w:firstLineChars="0"/>
              <w:jc w:val="left"/>
              <w:rPr>
                <w:rFonts w:ascii="宋体" w:hAnsi="宋体" w:eastAsia="宋体"/>
                <w:kern w:val="0"/>
                <w:sz w:val="21"/>
                <w:szCs w:val="21"/>
              </w:rPr>
            </w:pPr>
          </w:p>
        </w:tc>
      </w:tr>
      <w:tr>
        <w:trPr>
          <w:trHeight w:val="300" w:hRule="atLeast"/>
        </w:trPr>
        <w:tc>
          <w:tcPr>
            <w:tcW w:w="8880" w:type="dxa"/>
            <w:gridSpan w:val="6"/>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3.服务评价为被评价项目的平均分；</w:t>
            </w:r>
          </w:p>
        </w:tc>
        <w:tc>
          <w:tcPr>
            <w:tcW w:w="760" w:type="dxa"/>
            <w:gridSpan w:val="2"/>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p>
        </w:tc>
      </w:tr>
      <w:tr>
        <w:tblPrEx>
          <w:tblCellMar>
            <w:top w:w="0" w:type="dxa"/>
            <w:left w:w="108" w:type="dxa"/>
            <w:bottom w:w="0" w:type="dxa"/>
            <w:right w:w="108" w:type="dxa"/>
          </w:tblCellMar>
        </w:tblPrEx>
        <w:trPr>
          <w:trHeight w:val="300" w:hRule="atLeast"/>
        </w:trPr>
        <w:tc>
          <w:tcPr>
            <w:tcW w:w="8505" w:type="dxa"/>
            <w:gridSpan w:val="5"/>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4.</w:t>
            </w:r>
            <w:r>
              <w:rPr>
                <w:rFonts w:hint="eastAsia" w:ascii="宋体" w:hAnsi="宋体" w:eastAsia="宋体"/>
                <w:sz w:val="21"/>
                <w:szCs w:val="21"/>
              </w:rPr>
              <w:t>单个项目的服务评价没有负面评价的，评价系统默认16分；</w:t>
            </w:r>
          </w:p>
        </w:tc>
        <w:tc>
          <w:tcPr>
            <w:tcW w:w="375" w:type="dxa"/>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p>
        </w:tc>
        <w:tc>
          <w:tcPr>
            <w:tcW w:w="760" w:type="dxa"/>
            <w:gridSpan w:val="2"/>
            <w:tcBorders>
              <w:top w:val="nil"/>
              <w:left w:val="nil"/>
              <w:bottom w:val="nil"/>
              <w:right w:val="nil"/>
            </w:tcBorders>
            <w:noWrap/>
            <w:vAlign w:val="bottom"/>
          </w:tcPr>
          <w:p>
            <w:pPr>
              <w:widowControl/>
              <w:spacing w:line="320" w:lineRule="exact"/>
              <w:ind w:firstLine="0" w:firstLineChars="0"/>
              <w:jc w:val="left"/>
              <w:rPr>
                <w:rFonts w:ascii="宋体" w:hAnsi="宋体" w:eastAsia="宋体"/>
                <w:kern w:val="0"/>
                <w:sz w:val="21"/>
                <w:szCs w:val="21"/>
              </w:rPr>
            </w:pPr>
          </w:p>
        </w:tc>
      </w:tr>
      <w:tr>
        <w:trPr>
          <w:trHeight w:val="300" w:hRule="atLeast"/>
        </w:trPr>
        <w:tc>
          <w:tcPr>
            <w:tcW w:w="8880" w:type="dxa"/>
            <w:gridSpan w:val="6"/>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r>
              <w:rPr>
                <w:rFonts w:hint="eastAsia" w:ascii="宋体" w:hAnsi="宋体" w:eastAsia="宋体" w:cs="宋体"/>
                <w:kern w:val="0"/>
                <w:sz w:val="21"/>
                <w:szCs w:val="21"/>
              </w:rPr>
              <w:t>5.所有奖惩记录以文件签发时间为准。</w:t>
            </w:r>
          </w:p>
        </w:tc>
        <w:tc>
          <w:tcPr>
            <w:tcW w:w="760" w:type="dxa"/>
            <w:gridSpan w:val="2"/>
            <w:tcBorders>
              <w:top w:val="nil"/>
              <w:left w:val="nil"/>
              <w:bottom w:val="nil"/>
              <w:right w:val="nil"/>
            </w:tcBorders>
            <w:noWrap/>
            <w:vAlign w:val="bottom"/>
          </w:tcPr>
          <w:p>
            <w:pPr>
              <w:widowControl/>
              <w:spacing w:line="320" w:lineRule="exact"/>
              <w:ind w:firstLine="0" w:firstLineChars="0"/>
              <w:jc w:val="left"/>
              <w:rPr>
                <w:rFonts w:ascii="宋体" w:hAnsi="宋体" w:eastAsia="宋体" w:cs="宋体"/>
                <w:kern w:val="0"/>
                <w:sz w:val="21"/>
                <w:szCs w:val="21"/>
              </w:rPr>
            </w:pPr>
          </w:p>
        </w:tc>
      </w:tr>
    </w:tbl>
    <w:p>
      <w:pPr>
        <w:ind w:firstLine="560"/>
      </w:pPr>
    </w:p>
    <w:p>
      <w:pPr>
        <w:widowControl/>
        <w:ind w:firstLine="560"/>
        <w:jc w:val="left"/>
      </w:pPr>
      <w:r>
        <w:br w:type="page"/>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r>
        <w:drawing>
          <wp:anchor distT="0" distB="0" distL="114300" distR="114300" simplePos="0" relativeHeight="251681792" behindDoc="1" locked="0" layoutInCell="1" allowOverlap="1">
            <wp:simplePos x="0" y="0"/>
            <wp:positionH relativeFrom="column">
              <wp:posOffset>-247015</wp:posOffset>
            </wp:positionH>
            <wp:positionV relativeFrom="paragraph">
              <wp:posOffset>114935</wp:posOffset>
            </wp:positionV>
            <wp:extent cx="6108065" cy="2285365"/>
            <wp:effectExtent l="0" t="0" r="0" b="635"/>
            <wp:wrapNone/>
            <wp:docPr id="682578" name="图片 682578"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78" name="图片 682578"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9580" t="45345" r="9656"/>
                    <a:stretch>
                      <a:fillRect/>
                    </a:stretch>
                  </pic:blipFill>
                  <pic:spPr>
                    <a:xfrm>
                      <a:off x="0" y="0"/>
                      <a:ext cx="6108065" cy="2285365"/>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286" w:name="_Toc27087"/>
      <w:bookmarkStart w:id="1287" w:name="_Toc22451"/>
      <w:bookmarkStart w:id="1288" w:name="_Toc28732"/>
      <w:bookmarkStart w:id="1289" w:name="_Toc25088"/>
      <w:bookmarkStart w:id="1290" w:name="_Toc28647"/>
      <w:bookmarkStart w:id="1291" w:name="_Toc25212"/>
      <w:bookmarkStart w:id="1292" w:name="_Toc28265"/>
      <w:bookmarkStart w:id="1293" w:name="_Toc4148"/>
      <w:bookmarkStart w:id="1294" w:name="_Toc14441"/>
      <w:bookmarkStart w:id="1295" w:name="_Toc9743"/>
      <w:bookmarkStart w:id="1296" w:name="_Toc3800"/>
      <w:r>
        <w:rPr>
          <w:rFonts w:hint="eastAsia"/>
        </w:rPr>
        <w:t>苏住建建〔2020〕26号</w:t>
      </w:r>
      <w:bookmarkEnd w:id="1286"/>
      <w:bookmarkEnd w:id="1287"/>
      <w:bookmarkEnd w:id="1288"/>
      <w:bookmarkEnd w:id="1289"/>
      <w:bookmarkEnd w:id="1290"/>
      <w:bookmarkEnd w:id="1291"/>
      <w:bookmarkEnd w:id="1292"/>
      <w:bookmarkEnd w:id="1293"/>
      <w:bookmarkEnd w:id="1294"/>
      <w:bookmarkEnd w:id="1295"/>
      <w:bookmarkEnd w:id="1296"/>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pPr>
      <w:bookmarkStart w:id="1297" w:name="_Toc11331"/>
      <w:bookmarkStart w:id="1298" w:name="_Toc554"/>
      <w:bookmarkStart w:id="1299" w:name="_Toc27412"/>
      <w:bookmarkStart w:id="1300" w:name="_Toc1126"/>
      <w:bookmarkStart w:id="1301" w:name="_Toc5451"/>
      <w:bookmarkStart w:id="1302" w:name="_Toc6981"/>
      <w:bookmarkStart w:id="1303" w:name="_Toc11440"/>
      <w:bookmarkStart w:id="1304" w:name="_Toc31529"/>
      <w:bookmarkStart w:id="1305" w:name="_Toc21578"/>
      <w:bookmarkStart w:id="1306" w:name="_Toc12137"/>
      <w:bookmarkStart w:id="1307" w:name="_Toc30663"/>
      <w:bookmarkStart w:id="1308" w:name="_Toc12022"/>
      <w:bookmarkStart w:id="1309" w:name="_Toc6366"/>
      <w:bookmarkStart w:id="1310" w:name="_Toc22215"/>
      <w:r>
        <w:rPr>
          <w:rFonts w:hint="eastAsia"/>
        </w:rPr>
        <w:t>市住房城乡建设局关于在工程计价措施费中</w:t>
      </w:r>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p>
    <w:p>
      <w:pPr>
        <w:pStyle w:val="3"/>
      </w:pPr>
      <w:bookmarkStart w:id="1311" w:name="_Toc9024"/>
      <w:bookmarkStart w:id="1312" w:name="_Toc29105"/>
      <w:bookmarkStart w:id="1313" w:name="_Toc31492"/>
      <w:bookmarkStart w:id="1314" w:name="_Toc8497"/>
      <w:bookmarkStart w:id="1315" w:name="_Toc7409"/>
      <w:bookmarkStart w:id="1316" w:name="_Toc2645"/>
      <w:bookmarkStart w:id="1317" w:name="_Toc315"/>
      <w:bookmarkStart w:id="1318" w:name="_Toc17619"/>
      <w:bookmarkStart w:id="1319" w:name="_Toc22705"/>
      <w:bookmarkStart w:id="1320" w:name="_Toc2601"/>
      <w:bookmarkStart w:id="1321" w:name="_Toc22393"/>
      <w:bookmarkStart w:id="1322" w:name="_Toc12191"/>
      <w:bookmarkStart w:id="1323" w:name="_Toc30700"/>
      <w:bookmarkStart w:id="1324" w:name="_Toc18477"/>
      <w:r>
        <w:rPr>
          <w:rFonts w:hint="eastAsia"/>
        </w:rPr>
        <w:t>增列“苏安码管理增加费”的通知</w:t>
      </w:r>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p>
    <w:p>
      <w:pPr>
        <w:pStyle w:val="8"/>
        <w:spacing w:line="600" w:lineRule="exact"/>
        <w:ind w:left="1060" w:firstLine="560"/>
        <w:rPr>
          <w:rFonts w:hAnsi="仿宋"/>
          <w:szCs w:val="32"/>
        </w:rPr>
      </w:pPr>
    </w:p>
    <w:p>
      <w:pPr>
        <w:ind w:firstLine="0" w:firstLineChars="0"/>
      </w:pPr>
      <w:r>
        <w:rPr>
          <w:rFonts w:hint="eastAsia"/>
        </w:rPr>
        <w:t>各市、区住建局（委），苏州工业园区规建委，市各有关部门：</w:t>
      </w:r>
    </w:p>
    <w:p>
      <w:pPr>
        <w:ind w:firstLine="560"/>
      </w:pPr>
      <w:r>
        <w:rPr>
          <w:rFonts w:hint="eastAsia"/>
        </w:rPr>
        <w:t>为落实我市建筑施工领域“苏安码”监管措施，保障相关费用的投入，现就我市工程计价措施费中增列“苏安码管理增加费”有关事项通知如下：</w:t>
      </w:r>
    </w:p>
    <w:p>
      <w:pPr>
        <w:numPr>
          <w:ilvl w:val="0"/>
          <w:numId w:val="6"/>
        </w:numPr>
        <w:ind w:firstLine="560"/>
        <w:rPr>
          <w:rFonts w:hint="eastAsia"/>
        </w:rPr>
      </w:pPr>
      <w:r>
        <w:rPr>
          <w:rFonts w:hint="eastAsia"/>
        </w:rPr>
        <w:t>“苏安码管理增加费”为总价措施项目费，计取标准为0.5‰。相应的工程量清单详见下表：</w:t>
      </w: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tbl>
      <w:tblPr>
        <w:tblStyle w:val="22"/>
        <w:tblpPr w:leftFromText="180" w:rightFromText="180" w:vertAnchor="text" w:horzAnchor="margin" w:tblpXSpec="center" w:tblpY="260"/>
        <w:tblW w:w="90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1559"/>
        <w:gridCol w:w="2268"/>
        <w:gridCol w:w="2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trPr>
        <w:tc>
          <w:tcPr>
            <w:tcW w:w="2660" w:type="dxa"/>
            <w:shd w:val="clear" w:color="auto" w:fill="auto"/>
            <w:vAlign w:val="center"/>
          </w:tcPr>
          <w:p>
            <w:pPr>
              <w:spacing w:line="240" w:lineRule="auto"/>
              <w:ind w:firstLine="0" w:firstLineChars="0"/>
              <w:jc w:val="center"/>
              <w:rPr>
                <w:rFonts w:ascii="宋体" w:hAnsi="宋体" w:eastAsia="宋体" w:cs="宋体"/>
                <w:b/>
                <w:color w:val="000000"/>
                <w:kern w:val="0"/>
                <w:sz w:val="24"/>
                <w:szCs w:val="24"/>
              </w:rPr>
            </w:pPr>
            <w:r>
              <w:rPr>
                <w:rFonts w:hint="eastAsia" w:ascii="宋体" w:hAnsi="宋体" w:eastAsia="宋体" w:cs="宋体"/>
                <w:b/>
                <w:color w:val="000000"/>
                <w:kern w:val="0"/>
                <w:sz w:val="24"/>
                <w:szCs w:val="24"/>
              </w:rPr>
              <w:t>工程类型</w:t>
            </w:r>
          </w:p>
        </w:tc>
        <w:tc>
          <w:tcPr>
            <w:tcW w:w="1559" w:type="dxa"/>
            <w:shd w:val="clear" w:color="auto" w:fill="auto"/>
            <w:vAlign w:val="center"/>
          </w:tcPr>
          <w:p>
            <w:pPr>
              <w:spacing w:line="240" w:lineRule="auto"/>
              <w:ind w:firstLine="0" w:firstLineChars="0"/>
              <w:jc w:val="center"/>
              <w:rPr>
                <w:rFonts w:ascii="宋体" w:hAnsi="宋体" w:eastAsia="宋体" w:cs="宋体"/>
                <w:b/>
                <w:color w:val="000000"/>
                <w:kern w:val="0"/>
                <w:sz w:val="24"/>
                <w:szCs w:val="24"/>
              </w:rPr>
            </w:pPr>
            <w:r>
              <w:rPr>
                <w:rFonts w:hint="eastAsia" w:ascii="宋体" w:hAnsi="宋体" w:eastAsia="宋体" w:cs="宋体"/>
                <w:b/>
                <w:color w:val="000000"/>
                <w:kern w:val="0"/>
                <w:sz w:val="24"/>
                <w:szCs w:val="24"/>
              </w:rPr>
              <w:t>项目编码</w:t>
            </w:r>
          </w:p>
        </w:tc>
        <w:tc>
          <w:tcPr>
            <w:tcW w:w="2268" w:type="dxa"/>
            <w:shd w:val="clear" w:color="auto" w:fill="auto"/>
            <w:vAlign w:val="center"/>
          </w:tcPr>
          <w:p>
            <w:pPr>
              <w:spacing w:line="240" w:lineRule="auto"/>
              <w:ind w:firstLine="0" w:firstLineChars="0"/>
              <w:jc w:val="center"/>
              <w:rPr>
                <w:rFonts w:ascii="宋体" w:hAnsi="宋体" w:eastAsia="宋体" w:cs="宋体"/>
                <w:b/>
                <w:color w:val="000000"/>
                <w:kern w:val="0"/>
                <w:sz w:val="24"/>
                <w:szCs w:val="24"/>
              </w:rPr>
            </w:pPr>
            <w:r>
              <w:rPr>
                <w:rFonts w:hint="eastAsia" w:ascii="宋体" w:hAnsi="宋体" w:eastAsia="宋体" w:cs="宋体"/>
                <w:b/>
                <w:color w:val="000000"/>
                <w:kern w:val="0"/>
                <w:sz w:val="24"/>
                <w:szCs w:val="24"/>
              </w:rPr>
              <w:t>项目名称</w:t>
            </w:r>
          </w:p>
        </w:tc>
        <w:tc>
          <w:tcPr>
            <w:tcW w:w="2546" w:type="dxa"/>
            <w:shd w:val="clear" w:color="auto" w:fill="auto"/>
            <w:vAlign w:val="center"/>
          </w:tcPr>
          <w:p>
            <w:pPr>
              <w:spacing w:line="240" w:lineRule="auto"/>
              <w:ind w:firstLine="0" w:firstLineChars="0"/>
              <w:jc w:val="center"/>
              <w:rPr>
                <w:rFonts w:ascii="宋体" w:hAnsi="宋体" w:eastAsia="宋体" w:cs="宋体"/>
                <w:b/>
                <w:color w:val="000000"/>
                <w:kern w:val="0"/>
                <w:sz w:val="24"/>
                <w:szCs w:val="24"/>
              </w:rPr>
            </w:pPr>
            <w:r>
              <w:rPr>
                <w:rFonts w:hint="eastAsia" w:ascii="宋体" w:hAnsi="宋体" w:eastAsia="宋体" w:cs="宋体"/>
                <w:b/>
                <w:color w:val="000000"/>
                <w:kern w:val="0"/>
                <w:sz w:val="24"/>
                <w:szCs w:val="24"/>
              </w:rPr>
              <w:t>工作内容及包含范围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房屋建筑与装饰工程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01</w:t>
            </w:r>
            <w:r>
              <w:rPr>
                <w:rFonts w:ascii="宋体" w:hAnsi="宋体" w:eastAsia="宋体" w:cs="宋体"/>
                <w:color w:val="000000"/>
                <w:kern w:val="0"/>
                <w:sz w:val="24"/>
                <w:szCs w:val="24"/>
              </w:rPr>
              <w:t>1707501</w:t>
            </w:r>
          </w:p>
        </w:tc>
        <w:tc>
          <w:tcPr>
            <w:tcW w:w="2268" w:type="dxa"/>
            <w:vMerge w:val="restart"/>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苏安码管理增加费</w:t>
            </w:r>
          </w:p>
        </w:tc>
        <w:tc>
          <w:tcPr>
            <w:tcW w:w="2546" w:type="dxa"/>
            <w:vMerge w:val="restart"/>
            <w:shd w:val="clear" w:color="auto" w:fill="auto"/>
            <w:vAlign w:val="center"/>
          </w:tcPr>
          <w:p>
            <w:pPr>
              <w:spacing w:line="240" w:lineRule="auto"/>
              <w:ind w:firstLine="0" w:firstLineChars="0"/>
              <w:rPr>
                <w:rFonts w:ascii="宋体" w:hAnsi="宋体" w:eastAsia="宋体" w:cs="宋体"/>
                <w:color w:val="000000"/>
                <w:kern w:val="0"/>
                <w:sz w:val="24"/>
                <w:szCs w:val="24"/>
              </w:rPr>
            </w:pPr>
            <w:r>
              <w:rPr>
                <w:rFonts w:hint="eastAsia" w:ascii="宋体" w:hAnsi="宋体" w:eastAsia="宋体" w:cs="宋体"/>
                <w:color w:val="000000"/>
                <w:kern w:val="0"/>
                <w:sz w:val="24"/>
                <w:szCs w:val="24"/>
              </w:rPr>
              <w:t>建筑施工领域从业人员体检、安全生产继续教育培训、</w:t>
            </w:r>
            <w:r>
              <w:rPr>
                <w:rFonts w:ascii="宋体" w:hAnsi="宋体" w:eastAsia="宋体" w:cs="宋体"/>
                <w:color w:val="000000"/>
                <w:kern w:val="0"/>
                <w:sz w:val="24"/>
                <w:szCs w:val="24"/>
              </w:rPr>
              <w:t>“</w:t>
            </w:r>
            <w:r>
              <w:rPr>
                <w:rFonts w:hint="eastAsia" w:ascii="宋体" w:hAnsi="宋体" w:eastAsia="宋体" w:cs="宋体"/>
                <w:color w:val="000000"/>
                <w:kern w:val="0"/>
                <w:sz w:val="24"/>
                <w:szCs w:val="24"/>
              </w:rPr>
              <w:t>苏安码</w:t>
            </w:r>
            <w:r>
              <w:rPr>
                <w:rFonts w:ascii="宋体" w:hAnsi="宋体" w:eastAsia="宋体" w:cs="宋体"/>
                <w:color w:val="000000"/>
                <w:kern w:val="0"/>
                <w:sz w:val="24"/>
                <w:szCs w:val="24"/>
              </w:rPr>
              <w:t>”</w:t>
            </w:r>
            <w:r>
              <w:rPr>
                <w:rFonts w:hint="eastAsia" w:ascii="宋体" w:hAnsi="宋体" w:eastAsia="宋体" w:cs="宋体"/>
                <w:color w:val="000000"/>
                <w:kern w:val="0"/>
                <w:sz w:val="24"/>
                <w:szCs w:val="24"/>
              </w:rPr>
              <w:t>检录</w:t>
            </w:r>
            <w:r>
              <w:rPr>
                <w:rFonts w:ascii="宋体" w:hAnsi="宋体" w:eastAsia="宋体" w:cs="宋体"/>
                <w:color w:val="000000"/>
                <w:kern w:val="0"/>
                <w:sz w:val="24"/>
                <w:szCs w:val="24"/>
              </w:rPr>
              <w:t>管理费</w:t>
            </w:r>
            <w:r>
              <w:rPr>
                <w:rFonts w:hint="eastAsia" w:ascii="宋体" w:hAnsi="宋体" w:eastAsia="宋体" w:cs="宋体"/>
                <w:color w:val="000000"/>
                <w:kern w:val="0"/>
                <w:sz w:val="24"/>
                <w:szCs w:val="24"/>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仿古建筑工程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021007501</w:t>
            </w:r>
          </w:p>
        </w:tc>
        <w:tc>
          <w:tcPr>
            <w:tcW w:w="2268"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通用安装工程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031302501</w:t>
            </w:r>
          </w:p>
        </w:tc>
        <w:tc>
          <w:tcPr>
            <w:tcW w:w="2268"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市政工程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041109501</w:t>
            </w:r>
          </w:p>
        </w:tc>
        <w:tc>
          <w:tcPr>
            <w:tcW w:w="2268"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园林绿化工程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050405501</w:t>
            </w:r>
          </w:p>
        </w:tc>
        <w:tc>
          <w:tcPr>
            <w:tcW w:w="2268"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jc w:val="center"/>
              <w:rPr>
                <w:rFonts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构筑物工程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070306501</w:t>
            </w:r>
          </w:p>
        </w:tc>
        <w:tc>
          <w:tcPr>
            <w:tcW w:w="2268" w:type="dxa"/>
            <w:vMerge w:val="continue"/>
            <w:shd w:val="clear" w:color="auto" w:fill="auto"/>
            <w:vAlign w:val="center"/>
          </w:tcPr>
          <w:p>
            <w:pPr>
              <w:spacing w:line="240" w:lineRule="auto"/>
              <w:ind w:firstLine="0" w:firstLineChars="0"/>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rPr>
                <w:rFonts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城市轨道交通工程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081311501</w:t>
            </w:r>
          </w:p>
        </w:tc>
        <w:tc>
          <w:tcPr>
            <w:tcW w:w="2268" w:type="dxa"/>
            <w:vMerge w:val="continue"/>
            <w:shd w:val="clear" w:color="auto" w:fill="auto"/>
            <w:vAlign w:val="center"/>
          </w:tcPr>
          <w:p>
            <w:pPr>
              <w:spacing w:line="240" w:lineRule="auto"/>
              <w:ind w:firstLine="0" w:firstLineChars="0"/>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rPr>
                <w:rFonts w:ascii="宋体" w:hAnsi="宋体" w:eastAsia="宋体" w:cs="宋体"/>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2660"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城市地下综合管廊</w:t>
            </w:r>
            <w:r>
              <w:rPr>
                <w:rFonts w:ascii="宋体" w:hAnsi="宋体" w:eastAsia="宋体" w:cs="宋体"/>
                <w:color w:val="000000"/>
                <w:kern w:val="0"/>
                <w:sz w:val="24"/>
                <w:szCs w:val="24"/>
              </w:rPr>
              <w:t>工程</w:t>
            </w:r>
          </w:p>
        </w:tc>
        <w:tc>
          <w:tcPr>
            <w:tcW w:w="1559" w:type="dxa"/>
            <w:shd w:val="clear" w:color="auto" w:fill="auto"/>
            <w:vAlign w:val="center"/>
          </w:tcPr>
          <w:p>
            <w:pPr>
              <w:spacing w:line="240" w:lineRule="auto"/>
              <w:ind w:firstLine="0" w:firstLineChars="0"/>
              <w:jc w:val="center"/>
              <w:rPr>
                <w:rFonts w:ascii="宋体" w:hAnsi="宋体" w:eastAsia="宋体" w:cs="宋体"/>
                <w:color w:val="000000"/>
                <w:kern w:val="0"/>
                <w:sz w:val="24"/>
                <w:szCs w:val="24"/>
              </w:rPr>
            </w:pPr>
            <w:r>
              <w:rPr>
                <w:rFonts w:ascii="宋体" w:hAnsi="宋体" w:eastAsia="宋体" w:cs="宋体"/>
                <w:color w:val="000000"/>
                <w:kern w:val="0"/>
                <w:sz w:val="24"/>
                <w:szCs w:val="24"/>
              </w:rPr>
              <w:t>101207501</w:t>
            </w:r>
          </w:p>
        </w:tc>
        <w:tc>
          <w:tcPr>
            <w:tcW w:w="2268" w:type="dxa"/>
            <w:vMerge w:val="continue"/>
            <w:shd w:val="clear" w:color="auto" w:fill="auto"/>
            <w:vAlign w:val="center"/>
          </w:tcPr>
          <w:p>
            <w:pPr>
              <w:spacing w:line="240" w:lineRule="auto"/>
              <w:ind w:firstLine="0" w:firstLineChars="0"/>
              <w:rPr>
                <w:rFonts w:ascii="宋体" w:hAnsi="宋体" w:eastAsia="宋体" w:cs="宋体"/>
                <w:color w:val="000000"/>
                <w:kern w:val="0"/>
                <w:sz w:val="21"/>
                <w:szCs w:val="21"/>
              </w:rPr>
            </w:pPr>
          </w:p>
        </w:tc>
        <w:tc>
          <w:tcPr>
            <w:tcW w:w="2546" w:type="dxa"/>
            <w:vMerge w:val="continue"/>
            <w:shd w:val="clear" w:color="auto" w:fill="auto"/>
            <w:vAlign w:val="center"/>
          </w:tcPr>
          <w:p>
            <w:pPr>
              <w:spacing w:line="240" w:lineRule="auto"/>
              <w:ind w:firstLine="0" w:firstLineChars="0"/>
              <w:rPr>
                <w:rFonts w:ascii="宋体" w:hAnsi="宋体" w:eastAsia="宋体" w:cs="宋体"/>
                <w:color w:val="000000"/>
                <w:kern w:val="0"/>
                <w:sz w:val="21"/>
                <w:szCs w:val="21"/>
              </w:rPr>
            </w:pPr>
          </w:p>
        </w:tc>
      </w:tr>
    </w:tbl>
    <w:p>
      <w:pPr>
        <w:ind w:firstLine="560"/>
      </w:pPr>
      <w:r>
        <w:rPr>
          <w:rFonts w:hint="eastAsia"/>
        </w:rPr>
        <w:t>二、本通知自9月1日起执行。在此之后发布招标公告的工程或签订施工合同依法不招标的工程，应按照本文规定计列“苏安码管理增加费”。9月1日前已实行“苏安码”管理的工程，在竣工结算时列入造价。</w:t>
      </w:r>
    </w:p>
    <w:p>
      <w:pPr>
        <w:ind w:firstLine="560"/>
      </w:pPr>
    </w:p>
    <w:p>
      <w:pPr>
        <w:pStyle w:val="2"/>
        <w:numPr>
          <w:ilvl w:val="0"/>
          <w:numId w:val="0"/>
        </w:numPr>
        <w:spacing w:line="500" w:lineRule="exact"/>
      </w:pPr>
    </w:p>
    <w:p>
      <w:pPr>
        <w:ind w:firstLine="4200" w:firstLineChars="1500"/>
      </w:pPr>
      <w:r>
        <w:rPr>
          <w:rFonts w:hint="eastAsia"/>
        </w:rPr>
        <w:t>苏州市住房和城乡建设局</w:t>
      </w:r>
    </w:p>
    <w:p>
      <w:pPr>
        <w:ind w:firstLine="4564" w:firstLineChars="1630"/>
      </w:pPr>
      <w:r>
        <w:rPr>
          <w:rFonts w:hint="eastAsia"/>
        </w:rPr>
        <w:t>2020年7月21日</w:t>
      </w:r>
    </w:p>
    <w:p>
      <w:pPr>
        <w:spacing w:line="460" w:lineRule="exact"/>
        <w:ind w:firstLine="520"/>
        <w:jc w:val="right"/>
        <w:rPr>
          <w:rFonts w:ascii="仿宋" w:hAnsi="仿宋" w:eastAsia="仿宋"/>
          <w:spacing w:val="-10"/>
          <w:szCs w:val="32"/>
        </w:rPr>
      </w:pPr>
      <w:r>
        <w:rPr>
          <w:rFonts w:hint="eastAsia" w:ascii="仿宋_GB2312" w:hAnsi="仿宋"/>
          <w:spacing w:val="-10"/>
          <w:szCs w:val="32"/>
        </w:rPr>
        <w:t xml:space="preserve">  </w:t>
      </w:r>
    </w:p>
    <w:p>
      <w:pPr>
        <w:widowControl/>
        <w:ind w:firstLine="560"/>
        <w:jc w:val="left"/>
      </w:pPr>
      <w:r>
        <w:br w:type="page"/>
      </w:r>
    </w:p>
    <w:p>
      <w:pPr>
        <w:spacing w:line="540" w:lineRule="exact"/>
        <w:ind w:firstLine="560"/>
        <w:rPr>
          <w:rFonts w:ascii="仿宋_GB2312"/>
        </w:rPr>
      </w:pPr>
      <w:r>
        <w:drawing>
          <wp:anchor distT="0" distB="0" distL="114300" distR="114300" simplePos="0" relativeHeight="251682816" behindDoc="1" locked="0" layoutInCell="1" allowOverlap="1">
            <wp:simplePos x="0" y="0"/>
            <wp:positionH relativeFrom="column">
              <wp:posOffset>-234950</wp:posOffset>
            </wp:positionH>
            <wp:positionV relativeFrom="paragraph">
              <wp:posOffset>18415</wp:posOffset>
            </wp:positionV>
            <wp:extent cx="6012815" cy="2204085"/>
            <wp:effectExtent l="0" t="0" r="0" b="5080"/>
            <wp:wrapNone/>
            <wp:docPr id="683923" name="图片 683923"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23" name="图片 683923"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9899" t="47289" r="10596"/>
                    <a:stretch>
                      <a:fillRect/>
                    </a:stretch>
                  </pic:blipFill>
                  <pic:spPr>
                    <a:xfrm>
                      <a:off x="0" y="0"/>
                      <a:ext cx="6012815" cy="2204085"/>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325" w:name="_Toc17383"/>
      <w:bookmarkStart w:id="1326" w:name="_Toc1501"/>
      <w:bookmarkStart w:id="1327" w:name="_Toc8273"/>
      <w:bookmarkStart w:id="1328" w:name="_Toc1568"/>
      <w:bookmarkStart w:id="1329" w:name="_Toc2520"/>
      <w:bookmarkStart w:id="1330" w:name="_Toc18379"/>
      <w:bookmarkStart w:id="1331" w:name="_Toc19741"/>
      <w:r>
        <w:rPr>
          <w:rFonts w:hint="eastAsia"/>
        </w:rPr>
        <w:t>苏住建建〔2020〕27号</w:t>
      </w:r>
      <w:bookmarkEnd w:id="1325"/>
      <w:bookmarkEnd w:id="1326"/>
      <w:bookmarkEnd w:id="1327"/>
      <w:bookmarkEnd w:id="1328"/>
      <w:bookmarkEnd w:id="1329"/>
      <w:bookmarkEnd w:id="1330"/>
      <w:bookmarkEnd w:id="1331"/>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1332" w:name="_Toc328"/>
      <w:bookmarkStart w:id="1333" w:name="_Toc16776"/>
      <w:bookmarkStart w:id="1334" w:name="_Toc24753"/>
      <w:bookmarkStart w:id="1335" w:name="_Toc9210"/>
      <w:bookmarkStart w:id="1336" w:name="_Toc11054"/>
      <w:bookmarkStart w:id="1337" w:name="_Toc18635"/>
      <w:bookmarkStart w:id="1338" w:name="_Toc30651"/>
      <w:bookmarkStart w:id="1339" w:name="_Toc11057"/>
      <w:bookmarkStart w:id="1340" w:name="_Toc9224"/>
      <w:bookmarkStart w:id="1341" w:name="_Toc22964"/>
      <w:bookmarkStart w:id="1342" w:name="_Toc5555"/>
      <w:bookmarkStart w:id="1343" w:name="_Toc12723"/>
      <w:bookmarkStart w:id="1344" w:name="_Toc6176"/>
      <w:bookmarkStart w:id="1345" w:name="_Toc2592"/>
      <w:r>
        <w:rPr>
          <w:rFonts w:hint="eastAsia"/>
        </w:rPr>
        <w:t>市住房城乡建设局关于明确新冠肺炎</w:t>
      </w:r>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1346" w:name="_Toc24258"/>
      <w:bookmarkStart w:id="1347" w:name="_Toc15124"/>
      <w:bookmarkStart w:id="1348" w:name="_Toc5550"/>
      <w:bookmarkStart w:id="1349" w:name="_Toc873"/>
      <w:bookmarkStart w:id="1350" w:name="_Toc28130"/>
      <w:bookmarkStart w:id="1351" w:name="_Toc14128"/>
      <w:bookmarkStart w:id="1352" w:name="_Toc10609"/>
      <w:bookmarkStart w:id="1353" w:name="_Toc19313"/>
      <w:bookmarkStart w:id="1354" w:name="_Toc20558"/>
      <w:bookmarkStart w:id="1355" w:name="_Toc26569"/>
      <w:bookmarkStart w:id="1356" w:name="_Toc7161"/>
      <w:bookmarkStart w:id="1357" w:name="_Toc25333"/>
      <w:bookmarkStart w:id="1358" w:name="_Toc11990"/>
      <w:bookmarkStart w:id="1359" w:name="_Toc8234"/>
      <w:r>
        <w:rPr>
          <w:rFonts w:hint="eastAsia"/>
        </w:rPr>
        <w:t>疫情影响下我市建设工程施工合同履约</w:t>
      </w:r>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1360" w:name="_Toc12246"/>
      <w:bookmarkStart w:id="1361" w:name="_Toc24334"/>
      <w:bookmarkStart w:id="1362" w:name="_Toc1129"/>
      <w:bookmarkStart w:id="1363" w:name="_Toc18967"/>
      <w:bookmarkStart w:id="1364" w:name="_Toc13743"/>
      <w:bookmarkStart w:id="1365" w:name="_Toc19347"/>
      <w:bookmarkStart w:id="1366" w:name="_Toc6532"/>
      <w:bookmarkStart w:id="1367" w:name="_Toc25237"/>
      <w:bookmarkStart w:id="1368" w:name="_Toc25089"/>
      <w:bookmarkStart w:id="1369" w:name="_Toc18053"/>
      <w:bookmarkStart w:id="1370" w:name="_Toc18351"/>
      <w:bookmarkStart w:id="1371" w:name="_Toc6564"/>
      <w:bookmarkStart w:id="1372" w:name="_Toc7027"/>
      <w:bookmarkStart w:id="1373" w:name="_Toc22100"/>
      <w:r>
        <w:rPr>
          <w:rFonts w:hint="eastAsia"/>
        </w:rPr>
        <w:t>及工程价款调整的通知</w:t>
      </w:r>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p>
    <w:p>
      <w:pPr>
        <w:pStyle w:val="8"/>
        <w:spacing w:line="600" w:lineRule="exact"/>
        <w:ind w:left="1060" w:firstLine="560"/>
        <w:rPr>
          <w:rFonts w:ascii="仿宋" w:hAnsi="仿宋" w:eastAsia="仿宋"/>
          <w:szCs w:val="32"/>
        </w:rPr>
      </w:pPr>
    </w:p>
    <w:p>
      <w:pPr>
        <w:ind w:firstLine="0" w:firstLineChars="0"/>
      </w:pPr>
      <w:r>
        <w:rPr>
          <w:rFonts w:hint="eastAsia"/>
        </w:rPr>
        <w:t>各市、区住建局（委），苏州工业园区规建委，市各有关部门：</w:t>
      </w:r>
    </w:p>
    <w:p>
      <w:pPr>
        <w:ind w:firstLine="560"/>
      </w:pPr>
      <w:r>
        <w:rPr>
          <w:rFonts w:hint="eastAsia"/>
        </w:rPr>
        <w:t>为了降低新冠肺炎疫情给建设工程施工合同履约带来的影响，省住建厅出台了《关于新冠肺炎疫情影响下房屋建筑与市政基础设施工程施工合同履约及工程价款调整的指导意见》（苏建价〔2020〕20号）（以下简称《指导意见》）。根据《指导意见》和我市实际情况，现就新冠肺炎疫情影响下我市建设工程施工合同履约及工程价款调整办法明确如下：</w:t>
      </w:r>
    </w:p>
    <w:p>
      <w:pPr>
        <w:ind w:firstLine="560"/>
      </w:pPr>
      <w:r>
        <w:rPr>
          <w:rFonts w:hint="eastAsia"/>
        </w:rPr>
        <w:t>一、关于工期的顺延</w:t>
      </w:r>
    </w:p>
    <w:p>
      <w:pPr>
        <w:ind w:firstLine="560"/>
      </w:pPr>
      <w:r>
        <w:rPr>
          <w:rFonts w:hint="eastAsia"/>
        </w:rPr>
        <w:t>因新冠肺炎疫情防控影响施工的工程项目，其工期按以下规定顺延：</w:t>
      </w:r>
    </w:p>
    <w:p>
      <w:pPr>
        <w:ind w:firstLine="560"/>
      </w:pPr>
      <w:r>
        <w:rPr>
          <w:rFonts w:hint="eastAsia"/>
        </w:rPr>
        <w:t xml:space="preserve">1.复工前，顺延天数=实际复工日-计划复工日，计划复工日无法确定时，可按2020年2月9日取定； </w:t>
      </w:r>
    </w:p>
    <w:p>
      <w:pPr>
        <w:ind w:firstLine="560"/>
      </w:pPr>
      <w:r>
        <w:rPr>
          <w:rFonts w:hint="eastAsia"/>
        </w:rPr>
        <w:t>2.复（开）工后至3月27日，顺延天数={3月27日-实际复（开）工日}*50%；当合同剩余施工天数小于此区间的，顺延天数=合同剩余施工天数*70%。</w:t>
      </w:r>
    </w:p>
    <w:p>
      <w:pPr>
        <w:ind w:firstLine="560"/>
      </w:pPr>
      <w:r>
        <w:rPr>
          <w:rFonts w:hint="eastAsia"/>
        </w:rPr>
        <w:t>二、关于提前竣工费用的计算</w:t>
      </w:r>
    </w:p>
    <w:p>
      <w:pPr>
        <w:ind w:firstLine="560"/>
      </w:pPr>
      <w:r>
        <w:rPr>
          <w:rFonts w:hint="eastAsia"/>
        </w:rPr>
        <w:t>工期顺延后，发包人确因特殊原因需要提前竣工的，每提前一天增加的费用按以下公式计算：</w:t>
      </w:r>
    </w:p>
    <w:p>
      <w:pPr>
        <w:ind w:firstLine="560"/>
      </w:pPr>
      <w:r>
        <w:rPr>
          <w:rFonts w:hint="eastAsia"/>
        </w:rPr>
        <w:t>费用定额规定的取费基数×0.3‰</w:t>
      </w:r>
    </w:p>
    <w:p>
      <w:pPr>
        <w:ind w:firstLine="560"/>
      </w:pPr>
      <w:r>
        <w:rPr>
          <w:rFonts w:hint="eastAsia"/>
        </w:rPr>
        <w:t>以上费用在总价措施项目费中单列。</w:t>
      </w:r>
    </w:p>
    <w:p>
      <w:pPr>
        <w:ind w:firstLine="560"/>
      </w:pPr>
      <w:r>
        <w:rPr>
          <w:rFonts w:hint="eastAsia"/>
        </w:rPr>
        <w:t>三、关于应急工程的结算</w:t>
      </w:r>
    </w:p>
    <w:p>
      <w:pPr>
        <w:ind w:firstLine="560"/>
      </w:pPr>
      <w:r>
        <w:rPr>
          <w:rFonts w:hint="eastAsia"/>
        </w:rPr>
        <w:t>在2020年1月25日至2020年2月20日期间施工的应急工程，期间完成的工程量，材料设备按发承包双方签证确认的实际采购价格结算，人工单价按期间人工工资指导价的3倍结算，并计取相关费用和税金。</w:t>
      </w:r>
    </w:p>
    <w:p>
      <w:pPr>
        <w:ind w:firstLine="560"/>
      </w:pPr>
      <w:r>
        <w:rPr>
          <w:rFonts w:hint="eastAsia"/>
        </w:rPr>
        <w:t>四、关于疫情防控费用的结算</w:t>
      </w:r>
    </w:p>
    <w:p>
      <w:pPr>
        <w:ind w:firstLine="560"/>
      </w:pPr>
      <w:r>
        <w:rPr>
          <w:rFonts w:hint="eastAsia"/>
        </w:rPr>
        <w:t>2020年1月25日至2020年4月30日期间，施工现场疫情防控费用（包括口罩、消毒物资配备、环境消杀、体温监测、核酸检测、人员在指定隔离点或施工现场进行隔离观察发生的费用和工人工资等）,按现场实际人数每人每天70元标准足额计取、包干使用，每天人数由发承包双方签证确认。以上费用在总价措施项目费中单列。</w:t>
      </w:r>
    </w:p>
    <w:p>
      <w:pPr>
        <w:ind w:firstLine="560"/>
      </w:pPr>
      <w:r>
        <w:rPr>
          <w:rFonts w:hint="eastAsia"/>
        </w:rPr>
        <w:t>五、关于增加费用的支付</w:t>
      </w:r>
    </w:p>
    <w:p>
      <w:pPr>
        <w:ind w:firstLine="560"/>
      </w:pPr>
      <w:r>
        <w:rPr>
          <w:rFonts w:hint="eastAsia"/>
        </w:rPr>
        <w:t>因疫情影响所增加的费用，应与工程进度款同期支付。</w:t>
      </w:r>
    </w:p>
    <w:p>
      <w:pPr>
        <w:ind w:firstLine="560"/>
      </w:pPr>
      <w:r>
        <w:rPr>
          <w:rFonts w:hint="eastAsia"/>
        </w:rPr>
        <w:t>六、其它</w:t>
      </w:r>
    </w:p>
    <w:p>
      <w:pPr>
        <w:ind w:firstLine="560"/>
      </w:pPr>
      <w:r>
        <w:rPr>
          <w:rFonts w:hint="eastAsia"/>
        </w:rPr>
        <w:t>本文未明事项按省《指导意见》执行；文件下发前，发承包双方就以上事项已有约定的，从其约定。</w:t>
      </w:r>
    </w:p>
    <w:p>
      <w:pPr>
        <w:pStyle w:val="2"/>
        <w:numPr>
          <w:ilvl w:val="0"/>
          <w:numId w:val="0"/>
        </w:numPr>
        <w:ind w:left="420"/>
      </w:pPr>
    </w:p>
    <w:p>
      <w:pPr>
        <w:ind w:firstLine="560"/>
      </w:pPr>
      <w:r>
        <w:rPr>
          <w:rFonts w:hint="eastAsia"/>
        </w:rPr>
        <w:t>附件：《省住房城乡建设厅关于新冠肺炎疫情影响下房屋建筑与市政基础设施工程施工合同履约及工程价款调整的指导意见》（苏建价[2020]20号）</w:t>
      </w:r>
    </w:p>
    <w:p>
      <w:pPr>
        <w:ind w:firstLine="4200" w:firstLineChars="1500"/>
      </w:pPr>
      <w:r>
        <w:rPr>
          <w:rFonts w:hint="eastAsia"/>
        </w:rPr>
        <w:t>苏州市住房和城乡建设局</w:t>
      </w:r>
    </w:p>
    <w:p>
      <w:pPr>
        <w:ind w:firstLine="4928" w:firstLineChars="1760"/>
      </w:pPr>
      <w:r>
        <w:rPr>
          <w:rFonts w:hint="eastAsia"/>
        </w:rPr>
        <w:t>2020年8月3日</w:t>
      </w:r>
    </w:p>
    <w:p>
      <w:pPr>
        <w:spacing w:line="240" w:lineRule="auto"/>
        <w:ind w:firstLine="560"/>
        <w:jc w:val="left"/>
      </w:pPr>
    </w:p>
    <w:p>
      <w:pPr>
        <w:spacing w:line="240" w:lineRule="auto"/>
        <w:ind w:firstLine="0" w:firstLineChars="0"/>
        <w:jc w:val="left"/>
      </w:pPr>
      <w:r>
        <w:rPr>
          <w:rFonts w:hint="eastAsia"/>
        </w:rPr>
        <w:t>附件</w:t>
      </w:r>
      <w:r>
        <w:t>：</w:t>
      </w:r>
    </w:p>
    <w:p>
      <w:pPr>
        <w:pStyle w:val="2"/>
        <w:numPr>
          <w:ilvl w:val="0"/>
          <w:numId w:val="0"/>
        </w:numPr>
        <w:ind w:left="420"/>
      </w:pPr>
    </w:p>
    <w:p>
      <w:pPr>
        <w:spacing w:line="240" w:lineRule="auto"/>
        <w:ind w:firstLine="0" w:firstLineChars="0"/>
        <w:jc w:val="center"/>
      </w:pPr>
      <w:r>
        <w:drawing>
          <wp:inline distT="0" distB="0" distL="0" distR="0">
            <wp:extent cx="5290185" cy="7522845"/>
            <wp:effectExtent l="0" t="0" r="5715" b="1905"/>
            <wp:docPr id="683924" name="图片 68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24" name="图片 683924"/>
                    <pic:cNvPicPr>
                      <a:picLocks noChangeAspect="1"/>
                    </pic:cNvPicPr>
                  </pic:nvPicPr>
                  <pic:blipFill>
                    <a:blip r:embed="rId85"/>
                    <a:srcRect l="4952" t="7663" r="6795" b="3459"/>
                    <a:stretch>
                      <a:fillRect/>
                    </a:stretch>
                  </pic:blipFill>
                  <pic:spPr>
                    <a:xfrm>
                      <a:off x="0" y="0"/>
                      <a:ext cx="5290185" cy="7522845"/>
                    </a:xfrm>
                    <a:prstGeom prst="rect">
                      <a:avLst/>
                    </a:prstGeom>
                  </pic:spPr>
                </pic:pic>
              </a:graphicData>
            </a:graphic>
          </wp:inline>
        </w:drawing>
      </w:r>
    </w:p>
    <w:p>
      <w:pPr>
        <w:widowControl/>
        <w:spacing w:line="240" w:lineRule="auto"/>
        <w:ind w:firstLine="560"/>
        <w:jc w:val="left"/>
      </w:pPr>
      <w:r>
        <w:br w:type="page"/>
      </w:r>
    </w:p>
    <w:p>
      <w:pPr>
        <w:spacing w:line="240" w:lineRule="auto"/>
        <w:ind w:firstLine="0" w:firstLineChars="0"/>
        <w:jc w:val="left"/>
      </w:pPr>
    </w:p>
    <w:p>
      <w:pPr>
        <w:spacing w:line="240" w:lineRule="auto"/>
        <w:ind w:firstLine="0" w:firstLineChars="0"/>
        <w:jc w:val="center"/>
      </w:pPr>
      <w:r>
        <w:drawing>
          <wp:inline distT="0" distB="0" distL="0" distR="0">
            <wp:extent cx="5360670" cy="7776845"/>
            <wp:effectExtent l="0" t="0" r="11430" b="14605"/>
            <wp:docPr id="683925" name="图片 68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25" name="图片 683925"/>
                    <pic:cNvPicPr>
                      <a:picLocks noChangeAspect="1"/>
                    </pic:cNvPicPr>
                  </pic:nvPicPr>
                  <pic:blipFill>
                    <a:blip r:embed="rId86"/>
                    <a:srcRect l="9350" t="9572" r="9226" b="5967"/>
                    <a:stretch>
                      <a:fillRect/>
                    </a:stretch>
                  </pic:blipFill>
                  <pic:spPr>
                    <a:xfrm>
                      <a:off x="0" y="0"/>
                      <a:ext cx="5360670" cy="7776845"/>
                    </a:xfrm>
                    <a:prstGeom prst="rect">
                      <a:avLst/>
                    </a:prstGeom>
                  </pic:spPr>
                </pic:pic>
              </a:graphicData>
            </a:graphic>
          </wp:inline>
        </w:drawing>
      </w: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pPr>
    </w:p>
    <w:p>
      <w:pPr>
        <w:spacing w:line="240" w:lineRule="auto"/>
        <w:ind w:firstLine="0" w:firstLineChars="0"/>
        <w:jc w:val="center"/>
      </w:pPr>
      <w:r>
        <w:drawing>
          <wp:inline distT="0" distB="0" distL="0" distR="0">
            <wp:extent cx="5285105" cy="7435215"/>
            <wp:effectExtent l="0" t="0" r="10795" b="13335"/>
            <wp:docPr id="683926" name="图片 68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26" name="图片 683926"/>
                    <pic:cNvPicPr>
                      <a:picLocks noChangeAspect="1"/>
                    </pic:cNvPicPr>
                  </pic:nvPicPr>
                  <pic:blipFill>
                    <a:blip r:embed="rId87"/>
                    <a:srcRect l="6851" t="8645" r="7179" b="5566"/>
                    <a:stretch>
                      <a:fillRect/>
                    </a:stretch>
                  </pic:blipFill>
                  <pic:spPr>
                    <a:xfrm>
                      <a:off x="0" y="0"/>
                      <a:ext cx="5285105" cy="7435215"/>
                    </a:xfrm>
                    <a:prstGeom prst="rect">
                      <a:avLst/>
                    </a:prstGeom>
                  </pic:spPr>
                </pic:pic>
              </a:graphicData>
            </a:graphic>
          </wp:inline>
        </w:drawing>
      </w:r>
    </w:p>
    <w:p>
      <w:pPr>
        <w:widowControl/>
        <w:ind w:firstLine="560"/>
        <w:jc w:val="left"/>
      </w:pPr>
      <w:r>
        <w:br w:type="page"/>
      </w:r>
    </w:p>
    <w:p>
      <w:pPr>
        <w:tabs>
          <w:tab w:val="left" w:pos="7797"/>
        </w:tabs>
        <w:ind w:firstLine="560"/>
        <w:jc w:val="center"/>
        <w:rPr>
          <w:b/>
          <w:sz w:val="52"/>
        </w:rPr>
      </w:pPr>
      <w:r>
        <w:drawing>
          <wp:anchor distT="0" distB="0" distL="114300" distR="114300" simplePos="0" relativeHeight="251683840" behindDoc="1" locked="0" layoutInCell="1" allowOverlap="1">
            <wp:simplePos x="0" y="0"/>
            <wp:positionH relativeFrom="column">
              <wp:posOffset>-923925</wp:posOffset>
            </wp:positionH>
            <wp:positionV relativeFrom="paragraph">
              <wp:posOffset>-914400</wp:posOffset>
            </wp:positionV>
            <wp:extent cx="7560310" cy="2268220"/>
            <wp:effectExtent l="0" t="0" r="0" b="18415"/>
            <wp:wrapNone/>
            <wp:docPr id="685261" name="图片 685261" descr="苏州市住房和城乡建设局 便签 文件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61" name="图片 685261" descr="苏州市住房和城乡建设局 便签 文件头"/>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7560310" cy="2268220"/>
                    </a:xfrm>
                    <a:prstGeom prst="rect">
                      <a:avLst/>
                    </a:prstGeom>
                    <a:noFill/>
                    <a:ln>
                      <a:noFill/>
                    </a:ln>
                    <a:effectLst/>
                  </pic:spPr>
                </pic:pic>
              </a:graphicData>
            </a:graphic>
          </wp:anchor>
        </w:drawing>
      </w:r>
    </w:p>
    <w:p>
      <w:pPr>
        <w:ind w:firstLine="1044"/>
        <w:jc w:val="center"/>
        <w:rPr>
          <w:b/>
          <w:sz w:val="52"/>
        </w:rPr>
      </w:pPr>
    </w:p>
    <w:p>
      <w:pPr>
        <w:ind w:firstLine="1044"/>
        <w:jc w:val="center"/>
        <w:rPr>
          <w:b/>
          <w:sz w:val="52"/>
        </w:rPr>
      </w:pPr>
    </w:p>
    <w:p>
      <w:pPr>
        <w:spacing w:before="120" w:beforeLines="50" w:line="500" w:lineRule="exact"/>
        <w:ind w:firstLine="560"/>
        <w:jc w:val="right"/>
        <w:rPr>
          <w:rFonts w:ascii="仿宋_GB2312"/>
          <w:szCs w:val="32"/>
        </w:rPr>
      </w:pPr>
    </w:p>
    <w:p>
      <w:pPr>
        <w:spacing w:line="500" w:lineRule="exact"/>
        <w:ind w:firstLine="560"/>
        <w:jc w:val="center"/>
        <w:rPr>
          <w:rFonts w:ascii="仿宋_GB2312"/>
          <w:szCs w:val="32"/>
        </w:rPr>
      </w:pPr>
    </w:p>
    <w:p>
      <w:pPr>
        <w:pStyle w:val="4"/>
      </w:pPr>
      <w:bookmarkStart w:id="1374" w:name="_Toc6832"/>
      <w:bookmarkStart w:id="1375" w:name="_Toc26339"/>
      <w:bookmarkStart w:id="1376" w:name="_Toc13804"/>
      <w:bookmarkStart w:id="1377" w:name="_Toc20690"/>
      <w:bookmarkStart w:id="1378" w:name="_Toc24530"/>
      <w:bookmarkStart w:id="1379" w:name="_Toc27534"/>
      <w:bookmarkStart w:id="1380" w:name="_Toc45"/>
      <w:r>
        <w:rPr>
          <w:rFonts w:hint="eastAsia"/>
        </w:rPr>
        <w:t>苏建函建〔2020〕384号</w:t>
      </w:r>
      <w:bookmarkEnd w:id="1374"/>
      <w:bookmarkEnd w:id="1375"/>
      <w:bookmarkEnd w:id="1376"/>
      <w:bookmarkEnd w:id="1377"/>
      <w:bookmarkEnd w:id="1378"/>
      <w:bookmarkEnd w:id="1379"/>
      <w:bookmarkEnd w:id="1380"/>
    </w:p>
    <w:p>
      <w:pPr>
        <w:spacing w:before="240" w:beforeLines="100"/>
        <w:ind w:firstLine="560"/>
        <w:jc w:val="right"/>
        <w:rPr>
          <w:rFonts w:ascii="仿宋_GB2312"/>
          <w:szCs w:val="32"/>
        </w:rPr>
      </w:pPr>
    </w:p>
    <w:p>
      <w:pPr>
        <w:pStyle w:val="3"/>
      </w:pPr>
      <w:bookmarkStart w:id="1381" w:name="_Toc15471"/>
      <w:bookmarkStart w:id="1382" w:name="_Toc107"/>
      <w:bookmarkStart w:id="1383" w:name="_Toc30192"/>
      <w:bookmarkStart w:id="1384" w:name="_Toc18021"/>
      <w:bookmarkStart w:id="1385" w:name="_Toc20981"/>
      <w:bookmarkStart w:id="1386" w:name="_Toc14658"/>
      <w:bookmarkStart w:id="1387" w:name="_Toc31862"/>
      <w:bookmarkStart w:id="1388" w:name="_Toc19792"/>
      <w:bookmarkStart w:id="1389" w:name="_Toc7345"/>
      <w:bookmarkStart w:id="1390" w:name="_Toc10235"/>
      <w:bookmarkStart w:id="1391" w:name="_Toc16142"/>
      <w:bookmarkStart w:id="1392" w:name="_Toc21729"/>
      <w:bookmarkStart w:id="1393" w:name="_Toc21610"/>
      <w:bookmarkStart w:id="1394" w:name="_Toc27956"/>
      <w:r>
        <w:rPr>
          <w:rFonts w:hint="eastAsia"/>
        </w:rPr>
        <w:t>关于做好建设工程年终结算</w:t>
      </w:r>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p>
    <w:p>
      <w:pPr>
        <w:pStyle w:val="3"/>
      </w:pPr>
      <w:bookmarkStart w:id="1395" w:name="_Toc3836"/>
      <w:bookmarkStart w:id="1396" w:name="_Toc16225"/>
      <w:bookmarkStart w:id="1397" w:name="_Toc16706"/>
      <w:bookmarkStart w:id="1398" w:name="_Toc6714"/>
      <w:bookmarkStart w:id="1399" w:name="_Toc27330"/>
      <w:bookmarkStart w:id="1400" w:name="_Toc31805"/>
      <w:bookmarkStart w:id="1401" w:name="_Toc926"/>
      <w:bookmarkStart w:id="1402" w:name="_Toc19042"/>
      <w:bookmarkStart w:id="1403" w:name="_Toc1425"/>
      <w:bookmarkStart w:id="1404" w:name="_Toc22664"/>
      <w:bookmarkStart w:id="1405" w:name="_Toc2547"/>
      <w:bookmarkStart w:id="1406" w:name="_Toc18826"/>
      <w:bookmarkStart w:id="1407" w:name="_Toc5348"/>
      <w:bookmarkStart w:id="1408" w:name="_Toc17204"/>
      <w:r>
        <w:rPr>
          <w:rFonts w:hint="eastAsia"/>
        </w:rPr>
        <w:t>确保农民工工资按时支付的通知</w:t>
      </w:r>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pPr>
        <w:ind w:firstLine="720"/>
        <w:jc w:val="center"/>
        <w:rPr>
          <w:rFonts w:ascii="宋体" w:hAnsi="宋体"/>
          <w:sz w:val="36"/>
          <w:szCs w:val="36"/>
        </w:rPr>
      </w:pPr>
    </w:p>
    <w:p>
      <w:pPr>
        <w:pStyle w:val="2"/>
        <w:numPr>
          <w:ilvl w:val="0"/>
          <w:numId w:val="0"/>
        </w:numPr>
        <w:ind w:left="420"/>
      </w:pPr>
    </w:p>
    <w:p>
      <w:pPr>
        <w:ind w:firstLine="0" w:firstLineChars="0"/>
      </w:pPr>
      <w:r>
        <w:rPr>
          <w:rFonts w:hint="eastAsia"/>
        </w:rPr>
        <w:t>各市、区住建局（委），苏州工业园区规建委，各相关建设、施工、造价咨询企业：</w:t>
      </w:r>
    </w:p>
    <w:p>
      <w:pPr>
        <w:ind w:firstLine="560"/>
      </w:pPr>
      <w:r>
        <w:rPr>
          <w:rFonts w:hint="eastAsia"/>
        </w:rPr>
        <w:t>为全面贯彻落实《保障农民工工资支付条例》（国务院第724号令）文件精神，结合今年新冠肺炎疫情防控工作的实际情况，确保住建领域农民工工资按时支付，维护社会和谐稳定，现将做好建设工程年终结算工作有关要求通知如下：</w:t>
      </w:r>
    </w:p>
    <w:p>
      <w:pPr>
        <w:ind w:firstLine="560"/>
      </w:pPr>
      <w:r>
        <w:rPr>
          <w:rFonts w:hint="eastAsia"/>
        </w:rPr>
        <w:t>一、2020年11月25日（含）前，造价咨询企业已收到完整结算资料的项目，应在2021年1月25日前完成审核并出具成果报告。</w:t>
      </w:r>
    </w:p>
    <w:p>
      <w:pPr>
        <w:ind w:firstLine="560"/>
      </w:pPr>
      <w:r>
        <w:rPr>
          <w:rFonts w:hint="eastAsia"/>
        </w:rPr>
        <w:t>二、2020年11月25日之后收到结算资料的项目，造价咨询企业应抓紧时间审核，发承包双方须积极予以配合。春节前难以完成结算审核的项目，为保证农民工工资按时支付，造价咨询企业应针对性地出具阶段性成果报告，为年终结算提供有效依据。</w:t>
      </w:r>
    </w:p>
    <w:p>
      <w:pPr>
        <w:ind w:firstLine="560"/>
      </w:pPr>
      <w:r>
        <w:rPr>
          <w:rFonts w:hint="eastAsia"/>
        </w:rPr>
        <w:t>三、建设单位凭造价咨询企业出具的项目成果报告或阶段性成果报告，应按约及时支付工程款项。</w:t>
      </w:r>
    </w:p>
    <w:p>
      <w:pPr>
        <w:ind w:firstLine="560"/>
      </w:pPr>
      <w:r>
        <w:rPr>
          <w:rFonts w:hint="eastAsia"/>
        </w:rPr>
        <w:t>四、建设单位自行办理结算审核的，参照上述要求执行。</w:t>
      </w:r>
    </w:p>
    <w:p>
      <w:pPr>
        <w:ind w:firstLine="560"/>
      </w:pPr>
      <w:r>
        <w:rPr>
          <w:rFonts w:hint="eastAsia"/>
        </w:rPr>
        <w:t>五、在规定时间内未能完成审核工作的，造价咨询企业应将未完成审核的项目，于2021年2月5日前填写《苏州市建设工程未完成结算项目一览表》（附件），上报市工程造价管理处。</w:t>
      </w:r>
    </w:p>
    <w:p>
      <w:pPr>
        <w:ind w:firstLine="560"/>
      </w:pPr>
      <w:r>
        <w:rPr>
          <w:rFonts w:hint="eastAsia"/>
        </w:rPr>
        <w:t>六、应结未结的建设工程项目，经查实，属于造价咨询企业原因造成延误的，约谈企业负责人、技术负责人及相关责任人，对违规行为进行处理，并将其不良行为在企业及相关造价师的信用平台上予以录入；属于承包方原因造成延误的，对施工单位予以通报，并计入施工企业不良信用扣分；属于建设单位、代建机构、审计部门或其他委托单位造成延误的，报送市委督查部门、纪检部门，加强督促整改；涉及到具体工作人员的，则按照造价从业人员有关管理办法，将其不良行为计入个人信用档案。</w:t>
      </w:r>
    </w:p>
    <w:p>
      <w:pPr>
        <w:ind w:firstLine="560"/>
      </w:pPr>
      <w:r>
        <w:rPr>
          <w:rFonts w:hint="eastAsia"/>
        </w:rPr>
        <w:t>七、各级建设行政主管部门应加强造价咨询企业及从业人员执业行为的监督管理，及时处理结算工作中产生的纠纷问题，督促各方做好年终结算工作。建设各方应结合疫情防控形势需要和工作实际，对照本通知认真做好年终结算工作，防止因拖欠农民工工资造成群访事件，共同维护建设工程发承包双方的合法权益，努力营造稳定有序的建筑市场环境。</w:t>
      </w:r>
    </w:p>
    <w:p>
      <w:pPr>
        <w:ind w:firstLine="560"/>
      </w:pPr>
    </w:p>
    <w:p>
      <w:pPr>
        <w:ind w:firstLine="560"/>
      </w:pPr>
    </w:p>
    <w:p>
      <w:pPr>
        <w:ind w:firstLine="3836" w:firstLineChars="1370"/>
      </w:pPr>
      <w:r>
        <w:rPr>
          <w:rFonts w:hint="eastAsia"/>
        </w:rPr>
        <w:t>苏州市住房和城乡建设局</w:t>
      </w:r>
    </w:p>
    <w:p>
      <w:pPr>
        <w:ind w:firstLine="4200" w:firstLineChars="1500"/>
      </w:pPr>
      <w:r>
        <w:rPr>
          <w:rFonts w:hint="eastAsia"/>
        </w:rPr>
        <w:t>2020年</w:t>
      </w:r>
      <w:r>
        <w:t>11</w:t>
      </w:r>
      <w:r>
        <w:rPr>
          <w:rFonts w:hint="eastAsia"/>
        </w:rPr>
        <w:t>月18日</w:t>
      </w:r>
    </w:p>
    <w:p>
      <w:pPr>
        <w:tabs>
          <w:tab w:val="left" w:pos="6560"/>
        </w:tabs>
        <w:spacing w:line="260" w:lineRule="exact"/>
        <w:ind w:firstLine="520"/>
        <w:rPr>
          <w:rFonts w:ascii="仿宋_GB2312"/>
          <w:color w:val="000000"/>
          <w:spacing w:val="-10"/>
          <w:szCs w:val="32"/>
        </w:rPr>
      </w:pPr>
    </w:p>
    <w:p>
      <w:pPr>
        <w:spacing w:line="460" w:lineRule="exact"/>
        <w:ind w:right="-266" w:rightChars="-95" w:firstLine="560"/>
        <w:jc w:val="right"/>
        <w:rPr>
          <w:rFonts w:ascii="仿宋_GB2312"/>
          <w:szCs w:val="32"/>
        </w:rPr>
      </w:pPr>
    </w:p>
    <w:p>
      <w:pPr>
        <w:spacing w:line="460" w:lineRule="exact"/>
        <w:ind w:right="-266" w:rightChars="-95" w:firstLine="560"/>
        <w:jc w:val="right"/>
        <w:sectPr>
          <w:footerReference r:id="rId14" w:type="default"/>
          <w:footerReference r:id="rId15" w:type="even"/>
          <w:pgSz w:w="11906" w:h="16838"/>
          <w:pgMar w:top="1588" w:right="1474" w:bottom="1418" w:left="1701" w:header="851" w:footer="851" w:gutter="0"/>
          <w:pgNumType w:fmt="decimal"/>
          <w:cols w:space="720" w:num="1"/>
          <w:docGrid w:linePitch="312" w:charSpace="0"/>
        </w:sectPr>
      </w:pPr>
    </w:p>
    <w:p>
      <w:pPr>
        <w:ind w:firstLine="0" w:firstLineChars="0"/>
        <w:rPr>
          <w:rFonts w:ascii="仿宋_GB2312" w:hAnsi="宋体"/>
          <w:szCs w:val="32"/>
        </w:rPr>
      </w:pPr>
      <w:r>
        <w:rPr>
          <w:rFonts w:hint="eastAsia" w:ascii="仿宋_GB2312" w:hAnsi="宋体"/>
          <w:szCs w:val="32"/>
        </w:rPr>
        <w:t>附件</w:t>
      </w:r>
    </w:p>
    <w:p>
      <w:pPr>
        <w:pStyle w:val="2"/>
        <w:numPr>
          <w:ilvl w:val="0"/>
          <w:numId w:val="0"/>
        </w:numPr>
        <w:ind w:left="420"/>
      </w:pPr>
    </w:p>
    <w:p>
      <w:pPr>
        <w:ind w:firstLine="720"/>
        <w:jc w:val="center"/>
        <w:rPr>
          <w:rFonts w:ascii="方正小标宋_GBK" w:hAnsi="宋体" w:eastAsia="方正小标宋_GBK"/>
          <w:sz w:val="36"/>
          <w:szCs w:val="36"/>
          <w:shd w:val="clear" w:color="auto" w:fill="FFFFFF"/>
        </w:rPr>
      </w:pPr>
      <w:r>
        <w:rPr>
          <w:rFonts w:hint="eastAsia" w:ascii="方正小标宋_GBK" w:hAnsi="宋体" w:eastAsia="方正小标宋_GBK"/>
          <w:sz w:val="36"/>
          <w:szCs w:val="36"/>
          <w:shd w:val="clear" w:color="auto" w:fill="FFFFFF"/>
        </w:rPr>
        <w:t>苏州市建设工程未完成结算项目一览表</w:t>
      </w:r>
    </w:p>
    <w:p>
      <w:pPr>
        <w:ind w:firstLine="0" w:firstLineChars="0"/>
        <w:rPr>
          <w:rFonts w:ascii="宋体" w:hAnsi="宋体"/>
          <w:color w:val="000000"/>
          <w:szCs w:val="28"/>
          <w:shd w:val="clear" w:color="auto" w:fill="FFFFFF"/>
        </w:rPr>
      </w:pPr>
    </w:p>
    <w:p>
      <w:pPr>
        <w:ind w:firstLine="0" w:firstLineChars="0"/>
        <w:rPr>
          <w:rFonts w:ascii="宋体" w:hAnsi="宋体"/>
          <w:color w:val="000000"/>
          <w:szCs w:val="28"/>
          <w:shd w:val="clear" w:color="auto" w:fill="FFFFFF"/>
        </w:rPr>
      </w:pPr>
      <w:r>
        <w:rPr>
          <w:rFonts w:hint="eastAsia" w:ascii="宋体" w:hAnsi="宋体"/>
          <w:color w:val="000000"/>
          <w:szCs w:val="28"/>
          <w:shd w:val="clear" w:color="auto" w:fill="FFFFFF"/>
        </w:rPr>
        <w:t>咨询单位：（盖章）</w:t>
      </w:r>
    </w:p>
    <w:tbl>
      <w:tblPr>
        <w:tblStyle w:val="22"/>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1567"/>
        <w:gridCol w:w="1055"/>
        <w:gridCol w:w="801"/>
        <w:gridCol w:w="787"/>
        <w:gridCol w:w="1452"/>
        <w:gridCol w:w="1230"/>
        <w:gridCol w:w="14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序号</w:t>
            </w:r>
          </w:p>
        </w:tc>
        <w:tc>
          <w:tcPr>
            <w:tcW w:w="1567"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项目名称</w:t>
            </w:r>
          </w:p>
        </w:tc>
        <w:tc>
          <w:tcPr>
            <w:tcW w:w="1055"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建设单位</w:t>
            </w:r>
          </w:p>
        </w:tc>
        <w:tc>
          <w:tcPr>
            <w:tcW w:w="801"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施工单位</w:t>
            </w:r>
          </w:p>
        </w:tc>
        <w:tc>
          <w:tcPr>
            <w:tcW w:w="787"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送审</w:t>
            </w:r>
          </w:p>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时间</w:t>
            </w:r>
          </w:p>
        </w:tc>
        <w:tc>
          <w:tcPr>
            <w:tcW w:w="1452"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送审造价</w:t>
            </w:r>
          </w:p>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（万元）</w:t>
            </w:r>
          </w:p>
        </w:tc>
        <w:tc>
          <w:tcPr>
            <w:tcW w:w="1230"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未完成</w:t>
            </w:r>
          </w:p>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原因</w:t>
            </w:r>
          </w:p>
        </w:tc>
        <w:tc>
          <w:tcPr>
            <w:tcW w:w="1404" w:type="dxa"/>
            <w:shd w:val="clear" w:color="auto" w:fill="auto"/>
            <w:vAlign w:val="center"/>
          </w:tcPr>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项目</w:t>
            </w:r>
          </w:p>
          <w:p>
            <w:pPr>
              <w:ind w:firstLine="0" w:firstLineChars="0"/>
              <w:jc w:val="center"/>
              <w:rPr>
                <w:rFonts w:ascii="宋体" w:hAnsi="宋体"/>
                <w:color w:val="000000"/>
                <w:szCs w:val="28"/>
                <w:shd w:val="clear" w:color="auto" w:fill="FFFFFF"/>
              </w:rPr>
            </w:pPr>
            <w:r>
              <w:rPr>
                <w:rFonts w:hint="eastAsia" w:ascii="宋体" w:hAnsi="宋体"/>
                <w:color w:val="000000"/>
                <w:szCs w:val="28"/>
                <w:shd w:val="clear" w:color="auto" w:fill="FFFFFF"/>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56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055"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801"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78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52"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23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04" w:type="dxa"/>
            <w:shd w:val="clear" w:color="auto" w:fill="auto"/>
          </w:tcPr>
          <w:p>
            <w:pPr>
              <w:spacing w:line="580" w:lineRule="exact"/>
              <w:ind w:firstLine="0" w:firstLineChars="0"/>
              <w:jc w:val="center"/>
              <w:rPr>
                <w:rFonts w:ascii="宋体" w:hAnsi="宋体"/>
                <w:color w:val="000000"/>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56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055"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801"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78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52"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23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04" w:type="dxa"/>
            <w:shd w:val="clear" w:color="auto" w:fill="auto"/>
          </w:tcPr>
          <w:p>
            <w:pPr>
              <w:spacing w:line="580" w:lineRule="exact"/>
              <w:ind w:firstLine="0" w:firstLineChars="0"/>
              <w:jc w:val="center"/>
              <w:rPr>
                <w:rFonts w:ascii="宋体" w:hAnsi="宋体"/>
                <w:color w:val="000000"/>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56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055"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801"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78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52"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23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04" w:type="dxa"/>
            <w:shd w:val="clear" w:color="auto" w:fill="auto"/>
          </w:tcPr>
          <w:p>
            <w:pPr>
              <w:spacing w:line="580" w:lineRule="exact"/>
              <w:ind w:firstLine="0" w:firstLineChars="0"/>
              <w:jc w:val="center"/>
              <w:rPr>
                <w:rFonts w:ascii="宋体" w:hAnsi="宋体"/>
                <w:color w:val="000000"/>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56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055"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801"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787"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52"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230" w:type="dxa"/>
            <w:shd w:val="clear" w:color="auto" w:fill="auto"/>
          </w:tcPr>
          <w:p>
            <w:pPr>
              <w:spacing w:line="580" w:lineRule="exact"/>
              <w:ind w:firstLine="0" w:firstLineChars="0"/>
              <w:jc w:val="center"/>
              <w:rPr>
                <w:rFonts w:ascii="宋体" w:hAnsi="宋体"/>
                <w:color w:val="000000"/>
                <w:szCs w:val="28"/>
                <w:shd w:val="clear" w:color="auto" w:fill="FFFFFF"/>
              </w:rPr>
            </w:pPr>
          </w:p>
        </w:tc>
        <w:tc>
          <w:tcPr>
            <w:tcW w:w="1404" w:type="dxa"/>
            <w:shd w:val="clear" w:color="auto" w:fill="auto"/>
          </w:tcPr>
          <w:p>
            <w:pPr>
              <w:spacing w:line="580" w:lineRule="exact"/>
              <w:ind w:firstLine="0" w:firstLineChars="0"/>
              <w:jc w:val="center"/>
              <w:rPr>
                <w:rFonts w:ascii="宋体" w:hAnsi="宋体"/>
                <w:color w:val="000000"/>
                <w:szCs w:val="28"/>
                <w:shd w:val="clear" w:color="auto" w:fill="FFFFFF"/>
              </w:rPr>
            </w:pPr>
          </w:p>
        </w:tc>
      </w:tr>
    </w:tbl>
    <w:p>
      <w:pPr>
        <w:ind w:firstLine="560"/>
        <w:rPr>
          <w:rFonts w:ascii="宋体" w:hAnsi="宋体"/>
          <w:color w:val="000000"/>
          <w:szCs w:val="28"/>
        </w:rPr>
      </w:pPr>
      <w:r>
        <w:rPr>
          <w:rFonts w:ascii="宋体" w:hAnsi="宋体"/>
          <w:color w:val="000000"/>
          <w:szCs w:val="28"/>
        </w:rPr>
        <w:t>注：</w:t>
      </w:r>
      <w:r>
        <w:rPr>
          <w:rFonts w:hint="eastAsia" w:ascii="宋体" w:hAnsi="宋体"/>
          <w:color w:val="000000"/>
          <w:szCs w:val="28"/>
        </w:rPr>
        <w:t>1、本表按PDF格式（加盖公章）和Excel格式同时报送，报送资料邮件名以“企业简称”命名，发送至邮箱：</w:t>
      </w:r>
      <w:r>
        <w:fldChar w:fldCharType="begin"/>
      </w:r>
      <w:r>
        <w:instrText xml:space="preserve"> HYPERLINK "mailto:szzjscjg@163.com" </w:instrText>
      </w:r>
      <w:r>
        <w:fldChar w:fldCharType="separate"/>
      </w:r>
      <w:r>
        <w:rPr>
          <w:rStyle w:val="27"/>
          <w:rFonts w:hint="eastAsia" w:ascii="宋体" w:hAnsi="宋体"/>
          <w:szCs w:val="28"/>
        </w:rPr>
        <w:t>szzjscjg@163.com</w:t>
      </w:r>
      <w:r>
        <w:rPr>
          <w:rStyle w:val="27"/>
          <w:rFonts w:hint="eastAsia" w:ascii="宋体" w:hAnsi="宋体"/>
          <w:szCs w:val="28"/>
        </w:rPr>
        <w:fldChar w:fldCharType="end"/>
      </w:r>
      <w:r>
        <w:rPr>
          <w:rFonts w:hint="eastAsia" w:ascii="宋体" w:hAnsi="宋体"/>
          <w:color w:val="000000"/>
          <w:szCs w:val="28"/>
        </w:rPr>
        <w:t>。</w:t>
      </w:r>
    </w:p>
    <w:p>
      <w:pPr>
        <w:ind w:firstLine="560"/>
        <w:rPr>
          <w:rFonts w:ascii="宋体" w:hAnsi="宋体"/>
          <w:color w:val="000000"/>
          <w:szCs w:val="28"/>
        </w:rPr>
      </w:pPr>
      <w:r>
        <w:rPr>
          <w:rFonts w:hint="eastAsia" w:ascii="宋体" w:hAnsi="宋体"/>
          <w:color w:val="000000"/>
          <w:szCs w:val="28"/>
        </w:rPr>
        <w:t>2、如无应结未结项目的造价咨询企业，只需报送PDF格式，项目名称填无。</w:t>
      </w:r>
    </w:p>
    <w:p>
      <w:pPr>
        <w:ind w:firstLine="560"/>
      </w:pPr>
      <w:r>
        <w:rPr>
          <w:rFonts w:hint="eastAsia" w:ascii="宋体" w:hAnsi="宋体"/>
          <w:color w:val="000000"/>
          <w:szCs w:val="28"/>
        </w:rPr>
        <w:t>3、报送截止时间：2021年2月5日。</w:t>
      </w: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widowControl/>
        <w:spacing w:line="240" w:lineRule="auto"/>
        <w:ind w:firstLine="0" w:firstLineChars="0"/>
        <w:jc w:val="left"/>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widowControl/>
        <w:spacing w:line="240" w:lineRule="auto"/>
        <w:ind w:firstLine="0" w:firstLineChars="0"/>
        <w:jc w:val="left"/>
        <w:rPr>
          <w:rFonts w:ascii="仿宋_GB2312"/>
        </w:rPr>
      </w:pPr>
      <w:r>
        <w:drawing>
          <wp:anchor distT="0" distB="0" distL="0" distR="0" simplePos="0" relativeHeight="251702272" behindDoc="0" locked="0" layoutInCell="1" allowOverlap="1">
            <wp:simplePos x="0" y="0"/>
            <wp:positionH relativeFrom="column">
              <wp:posOffset>-64770</wp:posOffset>
            </wp:positionH>
            <wp:positionV relativeFrom="paragraph">
              <wp:posOffset>57150</wp:posOffset>
            </wp:positionV>
            <wp:extent cx="5669915" cy="8049260"/>
            <wp:effectExtent l="0" t="0" r="6985" b="889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8"/>
                    <a:srcRect l="9825" t="12819" r="10605" b="7087"/>
                    <a:stretch>
                      <a:fillRect/>
                    </a:stretch>
                  </pic:blipFill>
                  <pic:spPr>
                    <a:xfrm>
                      <a:off x="0" y="0"/>
                      <a:ext cx="5669915" cy="8049260"/>
                    </a:xfrm>
                    <a:prstGeom prst="rect">
                      <a:avLst/>
                    </a:prstGeom>
                  </pic:spPr>
                </pic:pic>
              </a:graphicData>
            </a:graphic>
          </wp:anchor>
        </w:drawing>
      </w:r>
    </w:p>
    <w:p>
      <w:pPr>
        <w:widowControl/>
        <w:spacing w:line="240" w:lineRule="auto"/>
        <w:ind w:firstLine="0" w:firstLineChars="0"/>
        <w:jc w:val="left"/>
        <w:rPr>
          <w:rFonts w:ascii="仿宋_GB2312"/>
        </w:rPr>
      </w:pPr>
    </w:p>
    <w:p>
      <w:pPr>
        <w:pStyle w:val="3"/>
      </w:pPr>
      <w:bookmarkStart w:id="1409" w:name="_Toc9849"/>
      <w:bookmarkStart w:id="1410" w:name="_Toc15064"/>
      <w:r>
        <w:rPr>
          <w:rFonts w:hint="eastAsia"/>
        </w:rPr>
        <w:t>省住房城乡建设厅关于发布江苏省房屋建筑和市政基础设施项目工程总承包计价规则</w:t>
      </w:r>
      <w:bookmarkEnd w:id="1409"/>
      <w:bookmarkEnd w:id="1410"/>
    </w:p>
    <w:p>
      <w:pPr>
        <w:pStyle w:val="3"/>
      </w:pPr>
      <w:bookmarkStart w:id="1411" w:name="_Toc29400"/>
      <w:bookmarkStart w:id="1412" w:name="_Toc13421"/>
      <w:r>
        <w:rPr>
          <w:rFonts w:hint="eastAsia"/>
        </w:rPr>
        <w:t>（试行）的公告</w:t>
      </w:r>
      <w:bookmarkEnd w:id="1411"/>
      <w:bookmarkEnd w:id="1412"/>
    </w:p>
    <w:p>
      <w:pPr>
        <w:widowControl/>
        <w:spacing w:line="240" w:lineRule="auto"/>
        <w:ind w:firstLine="0" w:firstLineChars="0"/>
        <w:jc w:val="left"/>
        <w:rPr>
          <w:rFonts w:ascii="仿宋_GB2312"/>
        </w:rPr>
      </w:pPr>
      <w:r>
        <w:rPr>
          <w:rFonts w:ascii="仿宋_GB2312"/>
        </w:rPr>
        <w:br w:type="page"/>
      </w:r>
    </w:p>
    <w:p>
      <w:pPr>
        <w:widowControl/>
        <w:spacing w:line="240" w:lineRule="auto"/>
        <w:ind w:firstLine="0" w:firstLineChars="0"/>
        <w:jc w:val="center"/>
      </w:pPr>
      <w:r>
        <w:drawing>
          <wp:inline distT="0" distB="0" distL="0" distR="0">
            <wp:extent cx="5554980" cy="7976235"/>
            <wp:effectExtent l="0" t="0" r="762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9"/>
                    <a:srcRect l="11396" t="12916" r="9327" b="6366"/>
                    <a:stretch>
                      <a:fillRect/>
                    </a:stretch>
                  </pic:blipFill>
                  <pic:spPr>
                    <a:xfrm>
                      <a:off x="0" y="0"/>
                      <a:ext cx="5554980" cy="7976235"/>
                    </a:xfrm>
                    <a:prstGeom prst="rect">
                      <a:avLst/>
                    </a:prstGeom>
                  </pic:spPr>
                </pic:pic>
              </a:graphicData>
            </a:graphic>
          </wp:inline>
        </w:drawing>
      </w:r>
      <w:r>
        <w:drawing>
          <wp:inline distT="0" distB="0" distL="0" distR="0">
            <wp:extent cx="5434330" cy="7887335"/>
            <wp:effectExtent l="0" t="0" r="13970" b="184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0"/>
                    <a:srcRect l="10707" t="11288" r="10119" b="7224"/>
                    <a:stretch>
                      <a:fillRect/>
                    </a:stretch>
                  </pic:blipFill>
                  <pic:spPr>
                    <a:xfrm>
                      <a:off x="0" y="0"/>
                      <a:ext cx="5434330" cy="7887335"/>
                    </a:xfrm>
                    <a:prstGeom prst="rect">
                      <a:avLst/>
                    </a:prstGeom>
                  </pic:spPr>
                </pic:pic>
              </a:graphicData>
            </a:graphic>
          </wp:inline>
        </w:drawing>
      </w:r>
      <w:r>
        <w:drawing>
          <wp:inline distT="0" distB="0" distL="0" distR="0">
            <wp:extent cx="5445760" cy="7859395"/>
            <wp:effectExtent l="0" t="0" r="254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1"/>
                    <a:srcRect l="11317" t="12194" r="10379" b="7665"/>
                    <a:stretch>
                      <a:fillRect/>
                    </a:stretch>
                  </pic:blipFill>
                  <pic:spPr>
                    <a:xfrm>
                      <a:off x="0" y="0"/>
                      <a:ext cx="5445760" cy="7859395"/>
                    </a:xfrm>
                    <a:prstGeom prst="rect">
                      <a:avLst/>
                    </a:prstGeom>
                  </pic:spPr>
                </pic:pic>
              </a:graphicData>
            </a:graphic>
          </wp:inline>
        </w:drawing>
      </w:r>
      <w:r>
        <w:drawing>
          <wp:inline distT="0" distB="0" distL="0" distR="0">
            <wp:extent cx="5184775" cy="7667625"/>
            <wp:effectExtent l="0" t="0" r="1587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2"/>
                    <a:srcRect l="11769" t="11988" r="10967" b="7190"/>
                    <a:stretch>
                      <a:fillRect/>
                    </a:stretch>
                  </pic:blipFill>
                  <pic:spPr>
                    <a:xfrm>
                      <a:off x="0" y="0"/>
                      <a:ext cx="5184775" cy="7667625"/>
                    </a:xfrm>
                    <a:prstGeom prst="rect">
                      <a:avLst/>
                    </a:prstGeom>
                  </pic:spPr>
                </pic:pic>
              </a:graphicData>
            </a:graphic>
          </wp:inline>
        </w:drawing>
      </w:r>
      <w:r>
        <w:drawing>
          <wp:inline distT="0" distB="0" distL="0" distR="0">
            <wp:extent cx="5429885" cy="7702550"/>
            <wp:effectExtent l="0" t="0" r="18415" b="1270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93"/>
                    <a:srcRect l="10888" t="13236" r="10808" b="7907"/>
                    <a:stretch>
                      <a:fillRect/>
                    </a:stretch>
                  </pic:blipFill>
                  <pic:spPr>
                    <a:xfrm>
                      <a:off x="0" y="0"/>
                      <a:ext cx="5429885" cy="7702550"/>
                    </a:xfrm>
                    <a:prstGeom prst="rect">
                      <a:avLst/>
                    </a:prstGeom>
                  </pic:spPr>
                </pic:pic>
              </a:graphicData>
            </a:graphic>
          </wp:inline>
        </w:drawing>
      </w:r>
      <w:r>
        <w:drawing>
          <wp:inline distT="0" distB="0" distL="0" distR="0">
            <wp:extent cx="5422265" cy="7813675"/>
            <wp:effectExtent l="0" t="0" r="6985" b="158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94"/>
                    <a:srcRect l="11125" t="13381" r="10763" b="6799"/>
                    <a:stretch>
                      <a:fillRect/>
                    </a:stretch>
                  </pic:blipFill>
                  <pic:spPr>
                    <a:xfrm>
                      <a:off x="0" y="0"/>
                      <a:ext cx="5422265" cy="7813675"/>
                    </a:xfrm>
                    <a:prstGeom prst="rect">
                      <a:avLst/>
                    </a:prstGeom>
                  </pic:spPr>
                </pic:pic>
              </a:graphicData>
            </a:graphic>
          </wp:inline>
        </w:drawing>
      </w:r>
      <w:r>
        <w:drawing>
          <wp:inline distT="0" distB="0" distL="0" distR="0">
            <wp:extent cx="5398135" cy="7844155"/>
            <wp:effectExtent l="0" t="0" r="12065"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5"/>
                    <a:srcRect l="11950" t="13525" r="11023" b="7103"/>
                    <a:stretch>
                      <a:fillRect/>
                    </a:stretch>
                  </pic:blipFill>
                  <pic:spPr>
                    <a:xfrm>
                      <a:off x="0" y="0"/>
                      <a:ext cx="5398135" cy="7844155"/>
                    </a:xfrm>
                    <a:prstGeom prst="rect">
                      <a:avLst/>
                    </a:prstGeom>
                  </pic:spPr>
                </pic:pic>
              </a:graphicData>
            </a:graphic>
          </wp:inline>
        </w:drawing>
      </w:r>
      <w:r>
        <w:drawing>
          <wp:inline distT="0" distB="0" distL="0" distR="0">
            <wp:extent cx="5470525" cy="8025765"/>
            <wp:effectExtent l="0" t="0" r="15875" b="133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6"/>
                    <a:srcRect l="11340" t="12908" r="12244" b="7592"/>
                    <a:stretch>
                      <a:fillRect/>
                    </a:stretch>
                  </pic:blipFill>
                  <pic:spPr>
                    <a:xfrm>
                      <a:off x="0" y="0"/>
                      <a:ext cx="5470525" cy="8025765"/>
                    </a:xfrm>
                    <a:prstGeom prst="rect">
                      <a:avLst/>
                    </a:prstGeom>
                  </pic:spPr>
                </pic:pic>
              </a:graphicData>
            </a:graphic>
          </wp:inline>
        </w:drawing>
      </w:r>
      <w:r>
        <w:drawing>
          <wp:inline distT="0" distB="0" distL="0" distR="0">
            <wp:extent cx="5501640" cy="7820660"/>
            <wp:effectExtent l="0" t="0" r="381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97"/>
                    <a:srcRect l="11317" t="12519" r="9960" b="7750"/>
                    <a:stretch>
                      <a:fillRect/>
                    </a:stretch>
                  </pic:blipFill>
                  <pic:spPr>
                    <a:xfrm>
                      <a:off x="0" y="0"/>
                      <a:ext cx="5501640" cy="7820660"/>
                    </a:xfrm>
                    <a:prstGeom prst="rect">
                      <a:avLst/>
                    </a:prstGeom>
                  </pic:spPr>
                </pic:pic>
              </a:graphicData>
            </a:graphic>
          </wp:inline>
        </w:drawing>
      </w:r>
      <w:r>
        <w:drawing>
          <wp:inline distT="0" distB="0" distL="0" distR="0">
            <wp:extent cx="5351780" cy="7618095"/>
            <wp:effectExtent l="0" t="0" r="127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8"/>
                    <a:srcRect l="10277" t="12010" r="9915" b="7432"/>
                    <a:stretch>
                      <a:fillRect/>
                    </a:stretch>
                  </pic:blipFill>
                  <pic:spPr>
                    <a:xfrm>
                      <a:off x="0" y="0"/>
                      <a:ext cx="5351780" cy="7618095"/>
                    </a:xfrm>
                    <a:prstGeom prst="rect">
                      <a:avLst/>
                    </a:prstGeom>
                  </pic:spPr>
                </pic:pic>
              </a:graphicData>
            </a:graphic>
          </wp:inline>
        </w:drawing>
      </w:r>
      <w:r>
        <w:drawing>
          <wp:inline distT="0" distB="0" distL="0" distR="0">
            <wp:extent cx="5396230" cy="7582535"/>
            <wp:effectExtent l="0" t="0" r="13970" b="184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9"/>
                    <a:srcRect l="10469" t="12764" r="8683" b="6678"/>
                    <a:stretch>
                      <a:fillRect/>
                    </a:stretch>
                  </pic:blipFill>
                  <pic:spPr>
                    <a:xfrm>
                      <a:off x="0" y="0"/>
                      <a:ext cx="5396230" cy="7582535"/>
                    </a:xfrm>
                    <a:prstGeom prst="rect">
                      <a:avLst/>
                    </a:prstGeom>
                  </pic:spPr>
                </pic:pic>
              </a:graphicData>
            </a:graphic>
          </wp:inline>
        </w:drawing>
      </w:r>
      <w:r>
        <w:drawing>
          <wp:inline distT="0" distB="0" distL="0" distR="0">
            <wp:extent cx="5481320" cy="7783195"/>
            <wp:effectExtent l="0" t="0" r="508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00"/>
                    <a:srcRect l="10492" t="12892" r="10119" b="7175"/>
                    <a:stretch>
                      <a:fillRect/>
                    </a:stretch>
                  </pic:blipFill>
                  <pic:spPr>
                    <a:xfrm>
                      <a:off x="0" y="0"/>
                      <a:ext cx="5481320" cy="7783195"/>
                    </a:xfrm>
                    <a:prstGeom prst="rect">
                      <a:avLst/>
                    </a:prstGeom>
                  </pic:spPr>
                </pic:pic>
              </a:graphicData>
            </a:graphic>
          </wp:inline>
        </w:drawing>
      </w:r>
      <w:r>
        <w:drawing>
          <wp:inline distT="0" distB="0" distL="0" distR="0">
            <wp:extent cx="5493385" cy="7630795"/>
            <wp:effectExtent l="0" t="0" r="12065"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1"/>
                    <a:srcRect l="10040" t="13493" r="9112" b="6871"/>
                    <a:stretch>
                      <a:fillRect/>
                    </a:stretch>
                  </pic:blipFill>
                  <pic:spPr>
                    <a:xfrm>
                      <a:off x="0" y="0"/>
                      <a:ext cx="5493385" cy="7630795"/>
                    </a:xfrm>
                    <a:prstGeom prst="rect">
                      <a:avLst/>
                    </a:prstGeom>
                  </pic:spPr>
                </pic:pic>
              </a:graphicData>
            </a:graphic>
          </wp:inline>
        </w:drawing>
      </w:r>
      <w:r>
        <w:drawing>
          <wp:inline distT="0" distB="0" distL="0" distR="0">
            <wp:extent cx="5530215" cy="7814945"/>
            <wp:effectExtent l="0" t="0" r="13335" b="146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02"/>
                    <a:srcRect l="11340" t="13196" r="8852" b="7030"/>
                    <a:stretch>
                      <a:fillRect/>
                    </a:stretch>
                  </pic:blipFill>
                  <pic:spPr>
                    <a:xfrm>
                      <a:off x="0" y="0"/>
                      <a:ext cx="5530215" cy="7814945"/>
                    </a:xfrm>
                    <a:prstGeom prst="rect">
                      <a:avLst/>
                    </a:prstGeom>
                  </pic:spPr>
                </pic:pic>
              </a:graphicData>
            </a:graphic>
          </wp:inline>
        </w:drawing>
      </w:r>
      <w:r>
        <w:drawing>
          <wp:inline distT="0" distB="0" distL="0" distR="0">
            <wp:extent cx="5397500" cy="7694930"/>
            <wp:effectExtent l="0" t="0" r="1270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3"/>
                    <a:srcRect l="12165" t="13678" r="9327" b="6951"/>
                    <a:stretch>
                      <a:fillRect/>
                    </a:stretch>
                  </pic:blipFill>
                  <pic:spPr>
                    <a:xfrm>
                      <a:off x="0" y="0"/>
                      <a:ext cx="5397500" cy="7694930"/>
                    </a:xfrm>
                    <a:prstGeom prst="rect">
                      <a:avLst/>
                    </a:prstGeom>
                  </pic:spPr>
                </pic:pic>
              </a:graphicData>
            </a:graphic>
          </wp:inline>
        </w:drawing>
      </w:r>
      <w:r>
        <w:drawing>
          <wp:inline distT="0" distB="0" distL="0" distR="0">
            <wp:extent cx="5435600" cy="7883525"/>
            <wp:effectExtent l="0" t="0" r="12700"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04"/>
                    <a:srcRect l="10073" t="12498" r="12018" b="7280"/>
                    <a:stretch>
                      <a:fillRect/>
                    </a:stretch>
                  </pic:blipFill>
                  <pic:spPr>
                    <a:xfrm>
                      <a:off x="0" y="0"/>
                      <a:ext cx="5435600" cy="7883525"/>
                    </a:xfrm>
                    <a:prstGeom prst="rect">
                      <a:avLst/>
                    </a:prstGeom>
                  </pic:spPr>
                </pic:pic>
              </a:graphicData>
            </a:graphic>
          </wp:inline>
        </w:drawing>
      </w:r>
      <w:r>
        <w:drawing>
          <wp:inline distT="0" distB="0" distL="0" distR="0">
            <wp:extent cx="5385435" cy="7970520"/>
            <wp:effectExtent l="0" t="0" r="5715" b="1143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05"/>
                    <a:srcRect l="11735" t="10230" r="8909" b="6486"/>
                    <a:stretch>
                      <a:fillRect/>
                    </a:stretch>
                  </pic:blipFill>
                  <pic:spPr>
                    <a:xfrm>
                      <a:off x="0" y="0"/>
                      <a:ext cx="5385435" cy="7970520"/>
                    </a:xfrm>
                    <a:prstGeom prst="rect">
                      <a:avLst/>
                    </a:prstGeom>
                  </pic:spPr>
                </pic:pic>
              </a:graphicData>
            </a:graphic>
          </wp:inline>
        </w:drawing>
      </w:r>
    </w:p>
    <w:p>
      <w:pPr>
        <w:widowControl/>
        <w:spacing w:line="240" w:lineRule="auto"/>
        <w:ind w:firstLine="0" w:firstLineChars="0"/>
        <w:jc w:val="center"/>
      </w:pPr>
    </w:p>
    <w:p>
      <w:pPr>
        <w:pStyle w:val="3"/>
      </w:pPr>
      <w:r>
        <w:drawing>
          <wp:anchor distT="0" distB="0" distL="0" distR="0" simplePos="0" relativeHeight="251703296" behindDoc="0" locked="0" layoutInCell="1" allowOverlap="1">
            <wp:simplePos x="0" y="0"/>
            <wp:positionH relativeFrom="column">
              <wp:posOffset>-106045</wp:posOffset>
            </wp:positionH>
            <wp:positionV relativeFrom="paragraph">
              <wp:posOffset>0</wp:posOffset>
            </wp:positionV>
            <wp:extent cx="5518150" cy="7981315"/>
            <wp:effectExtent l="0" t="0" r="6350" b="635"/>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06"/>
                    <a:srcRect l="9644" t="11213" r="9904" b="6589"/>
                    <a:stretch>
                      <a:fillRect/>
                    </a:stretch>
                  </pic:blipFill>
                  <pic:spPr>
                    <a:xfrm>
                      <a:off x="0" y="0"/>
                      <a:ext cx="5518150" cy="7981315"/>
                    </a:xfrm>
                    <a:prstGeom prst="rect">
                      <a:avLst/>
                    </a:prstGeom>
                  </pic:spPr>
                </pic:pic>
              </a:graphicData>
            </a:graphic>
          </wp:anchor>
        </w:drawing>
      </w:r>
    </w:p>
    <w:p>
      <w:pPr>
        <w:pStyle w:val="3"/>
      </w:pPr>
      <w:bookmarkStart w:id="1413" w:name="_Toc19514"/>
      <w:bookmarkStart w:id="1414" w:name="_Toc1285"/>
      <w:r>
        <w:rPr>
          <w:rFonts w:hint="eastAsia"/>
        </w:rPr>
        <w:t>省住房城乡建设厅关于明确城镇老旧小区</w:t>
      </w:r>
      <w:bookmarkEnd w:id="1413"/>
      <w:bookmarkEnd w:id="1414"/>
    </w:p>
    <w:p>
      <w:pPr>
        <w:pStyle w:val="3"/>
      </w:pPr>
      <w:bookmarkStart w:id="1415" w:name="_Toc22389"/>
      <w:bookmarkStart w:id="1416" w:name="_Toc15158"/>
      <w:r>
        <w:rPr>
          <w:rFonts w:hint="eastAsia"/>
        </w:rPr>
        <w:t>改造工程计价有关问题的公告</w:t>
      </w:r>
      <w:bookmarkEnd w:id="1415"/>
      <w:bookmarkEnd w:id="1416"/>
    </w:p>
    <w:p>
      <w:pPr>
        <w:widowControl/>
        <w:spacing w:line="240" w:lineRule="auto"/>
        <w:ind w:firstLine="0" w:firstLineChars="0"/>
        <w:jc w:val="center"/>
      </w:pPr>
    </w:p>
    <w:p>
      <w:pPr>
        <w:widowControl/>
        <w:spacing w:line="240" w:lineRule="auto"/>
        <w:ind w:firstLine="0" w:firstLineChars="0"/>
        <w:jc w:val="center"/>
        <w:rPr>
          <w:rFonts w:ascii="仿宋_GB2312"/>
        </w:rPr>
      </w:pPr>
      <w:r>
        <w:drawing>
          <wp:inline distT="0" distB="0" distL="0" distR="0">
            <wp:extent cx="5480685" cy="7789545"/>
            <wp:effectExtent l="0" t="0" r="5715" b="190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7"/>
                    <a:srcRect l="8344" t="9856" r="7846" b="6132"/>
                    <a:stretch>
                      <a:fillRect/>
                    </a:stretch>
                  </pic:blipFill>
                  <pic:spPr>
                    <a:xfrm>
                      <a:off x="0" y="0"/>
                      <a:ext cx="5480685" cy="7789545"/>
                    </a:xfrm>
                    <a:prstGeom prst="rect">
                      <a:avLst/>
                    </a:prstGeom>
                  </pic:spPr>
                </pic:pic>
              </a:graphicData>
            </a:graphic>
          </wp:inline>
        </w:drawing>
      </w:r>
      <w:r>
        <w:drawing>
          <wp:inline distT="0" distB="0" distL="0" distR="0">
            <wp:extent cx="5469890" cy="8178165"/>
            <wp:effectExtent l="0" t="0" r="16510" b="133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8"/>
                    <a:srcRect l="9859" t="10774" r="11181" b="5830"/>
                    <a:stretch>
                      <a:fillRect/>
                    </a:stretch>
                  </pic:blipFill>
                  <pic:spPr>
                    <a:xfrm>
                      <a:off x="0" y="0"/>
                      <a:ext cx="5469890" cy="8178165"/>
                    </a:xfrm>
                    <a:prstGeom prst="rect">
                      <a:avLst/>
                    </a:prstGeom>
                  </pic:spPr>
                </pic:pic>
              </a:graphicData>
            </a:graphic>
          </wp:inline>
        </w:drawing>
      </w:r>
      <w:r>
        <w:drawing>
          <wp:inline distT="0" distB="0" distL="0" distR="0">
            <wp:extent cx="5493385" cy="7910195"/>
            <wp:effectExtent l="0" t="0" r="12065" b="1460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09"/>
                    <a:srcRect l="9406" t="10175" r="8898" b="6725"/>
                    <a:stretch>
                      <a:fillRect/>
                    </a:stretch>
                  </pic:blipFill>
                  <pic:spPr>
                    <a:xfrm>
                      <a:off x="0" y="0"/>
                      <a:ext cx="5493385" cy="7910195"/>
                    </a:xfrm>
                    <a:prstGeom prst="rect">
                      <a:avLst/>
                    </a:prstGeom>
                  </pic:spPr>
                </pic:pic>
              </a:graphicData>
            </a:graphic>
          </wp:inline>
        </w:drawing>
      </w:r>
      <w:r>
        <w:drawing>
          <wp:inline distT="0" distB="0" distL="0" distR="0">
            <wp:extent cx="5654040" cy="7649845"/>
            <wp:effectExtent l="0" t="0" r="381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10"/>
                    <a:srcRect l="6252" t="8474" r="4816" b="6533"/>
                    <a:stretch>
                      <a:fillRect/>
                    </a:stretch>
                  </pic:blipFill>
                  <pic:spPr>
                    <a:xfrm>
                      <a:off x="0" y="0"/>
                      <a:ext cx="5654040" cy="7649845"/>
                    </a:xfrm>
                    <a:prstGeom prst="rect">
                      <a:avLst/>
                    </a:prstGeom>
                  </pic:spPr>
                </pic:pic>
              </a:graphicData>
            </a:graphic>
          </wp:inline>
        </w:drawing>
      </w:r>
      <w:r>
        <w:drawing>
          <wp:inline distT="0" distB="0" distL="0" distR="0">
            <wp:extent cx="5563870" cy="7733030"/>
            <wp:effectExtent l="0" t="0" r="17780" b="12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11"/>
                    <a:srcRect l="7496" t="9217" r="5936" b="5790"/>
                    <a:stretch>
                      <a:fillRect/>
                    </a:stretch>
                  </pic:blipFill>
                  <pic:spPr>
                    <a:xfrm>
                      <a:off x="0" y="0"/>
                      <a:ext cx="5563870" cy="7733030"/>
                    </a:xfrm>
                    <a:prstGeom prst="rect">
                      <a:avLst/>
                    </a:prstGeom>
                  </pic:spPr>
                </pic:pic>
              </a:graphicData>
            </a:graphic>
          </wp:inline>
        </w:drawing>
      </w:r>
      <w:r>
        <w:drawing>
          <wp:inline distT="0" distB="0" distL="0" distR="0">
            <wp:extent cx="5410200" cy="8037195"/>
            <wp:effectExtent l="0" t="0" r="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12"/>
                    <a:srcRect l="10921" t="10471" r="9904" b="6311"/>
                    <a:stretch>
                      <a:fillRect/>
                    </a:stretch>
                  </pic:blipFill>
                  <pic:spPr>
                    <a:xfrm>
                      <a:off x="0" y="0"/>
                      <a:ext cx="5410200" cy="8037195"/>
                    </a:xfrm>
                    <a:prstGeom prst="rect">
                      <a:avLst/>
                    </a:prstGeom>
                  </pic:spPr>
                </pic:pic>
              </a:graphicData>
            </a:graphic>
          </wp:inline>
        </w:drawing>
      </w:r>
      <w:r>
        <w:drawing>
          <wp:inline distT="0" distB="0" distL="0" distR="0">
            <wp:extent cx="5440680" cy="7807960"/>
            <wp:effectExtent l="0" t="0" r="762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13"/>
                    <a:srcRect l="10673" t="11231" r="8694" b="6844"/>
                    <a:stretch>
                      <a:fillRect/>
                    </a:stretch>
                  </pic:blipFill>
                  <pic:spPr>
                    <a:xfrm>
                      <a:off x="0" y="0"/>
                      <a:ext cx="5440680" cy="7807960"/>
                    </a:xfrm>
                    <a:prstGeom prst="rect">
                      <a:avLst/>
                    </a:prstGeom>
                  </pic:spPr>
                </pic:pic>
              </a:graphicData>
            </a:graphic>
          </wp:inline>
        </w:drawing>
      </w:r>
      <w:r>
        <w:drawing>
          <wp:inline distT="0" distB="0" distL="0" distR="0">
            <wp:extent cx="5304155" cy="7799070"/>
            <wp:effectExtent l="0" t="0" r="10795" b="1143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14"/>
                    <a:srcRect l="10729" t="10511" r="9813" b="6831"/>
                    <a:stretch>
                      <a:fillRect/>
                    </a:stretch>
                  </pic:blipFill>
                  <pic:spPr>
                    <a:xfrm>
                      <a:off x="0" y="0"/>
                      <a:ext cx="5304155" cy="7799070"/>
                    </a:xfrm>
                    <a:prstGeom prst="rect">
                      <a:avLst/>
                    </a:prstGeom>
                  </pic:spPr>
                </pic:pic>
              </a:graphicData>
            </a:graphic>
          </wp:inline>
        </w:drawing>
      </w:r>
      <w:r>
        <w:drawing>
          <wp:inline distT="0" distB="0" distL="0" distR="0">
            <wp:extent cx="5364480" cy="7787005"/>
            <wp:effectExtent l="0" t="0" r="7620" b="44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15"/>
                    <a:srcRect l="9429" t="10175" r="8773" b="6092"/>
                    <a:stretch>
                      <a:fillRect/>
                    </a:stretch>
                  </pic:blipFill>
                  <pic:spPr>
                    <a:xfrm>
                      <a:off x="0" y="0"/>
                      <a:ext cx="5364480" cy="7787005"/>
                    </a:xfrm>
                    <a:prstGeom prst="rect">
                      <a:avLst/>
                    </a:prstGeom>
                  </pic:spPr>
                </pic:pic>
              </a:graphicData>
            </a:graphic>
          </wp:inline>
        </w:drawing>
      </w:r>
      <w:r>
        <w:drawing>
          <wp:inline distT="0" distB="0" distL="0" distR="0">
            <wp:extent cx="5407660" cy="7399020"/>
            <wp:effectExtent l="0" t="0" r="2540" b="1143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6"/>
                    <a:srcRect l="7971" t="10855" r="6761" b="6540"/>
                    <a:stretch>
                      <a:fillRect/>
                    </a:stretch>
                  </pic:blipFill>
                  <pic:spPr>
                    <a:xfrm>
                      <a:off x="0" y="0"/>
                      <a:ext cx="5407660" cy="7399020"/>
                    </a:xfrm>
                    <a:prstGeom prst="rect">
                      <a:avLst/>
                    </a:prstGeom>
                  </pic:spPr>
                </pic:pic>
              </a:graphicData>
            </a:graphic>
          </wp:inline>
        </w:drawing>
      </w:r>
      <w:r>
        <w:drawing>
          <wp:inline distT="0" distB="0" distL="0" distR="0">
            <wp:extent cx="5369560" cy="7207250"/>
            <wp:effectExtent l="0" t="0" r="2540" b="1270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7"/>
                    <a:srcRect l="8163" t="12180" r="6343" b="6757"/>
                    <a:stretch>
                      <a:fillRect/>
                    </a:stretch>
                  </pic:blipFill>
                  <pic:spPr>
                    <a:xfrm>
                      <a:off x="0" y="0"/>
                      <a:ext cx="5369560" cy="7207250"/>
                    </a:xfrm>
                    <a:prstGeom prst="rect">
                      <a:avLst/>
                    </a:prstGeom>
                  </pic:spPr>
                </pic:pic>
              </a:graphicData>
            </a:graphic>
          </wp:inline>
        </w:drawing>
      </w:r>
      <w:r>
        <w:drawing>
          <wp:inline distT="0" distB="0" distL="0" distR="0">
            <wp:extent cx="5278120" cy="7285355"/>
            <wp:effectExtent l="0" t="0" r="17780" b="1079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8"/>
                    <a:srcRect l="7552" t="10031" r="6591" b="6261"/>
                    <a:stretch>
                      <a:fillRect/>
                    </a:stretch>
                  </pic:blipFill>
                  <pic:spPr>
                    <a:xfrm>
                      <a:off x="0" y="0"/>
                      <a:ext cx="5278120" cy="7285355"/>
                    </a:xfrm>
                    <a:prstGeom prst="rect">
                      <a:avLst/>
                    </a:prstGeom>
                  </pic:spPr>
                </pic:pic>
              </a:graphicData>
            </a:graphic>
          </wp:inline>
        </w:drawing>
      </w:r>
      <w:r>
        <w:drawing>
          <wp:inline distT="0" distB="0" distL="0" distR="0">
            <wp:extent cx="5347335" cy="7333615"/>
            <wp:effectExtent l="0" t="0" r="5715" b="63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9"/>
                    <a:srcRect l="7315" t="10478" r="6897" b="6413"/>
                    <a:stretch>
                      <a:fillRect/>
                    </a:stretch>
                  </pic:blipFill>
                  <pic:spPr>
                    <a:xfrm>
                      <a:off x="0" y="0"/>
                      <a:ext cx="5347335" cy="7333615"/>
                    </a:xfrm>
                    <a:prstGeom prst="rect">
                      <a:avLst/>
                    </a:prstGeom>
                  </pic:spPr>
                </pic:pic>
              </a:graphicData>
            </a:graphic>
          </wp:inline>
        </w:drawing>
      </w:r>
      <w:r>
        <w:drawing>
          <wp:inline distT="0" distB="0" distL="0" distR="0">
            <wp:extent cx="5292725" cy="7301230"/>
            <wp:effectExtent l="0" t="0" r="3175" b="1397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0"/>
                    <a:srcRect l="6071" t="9800" r="6761" b="5263"/>
                    <a:stretch>
                      <a:fillRect/>
                    </a:stretch>
                  </pic:blipFill>
                  <pic:spPr>
                    <a:xfrm>
                      <a:off x="0" y="0"/>
                      <a:ext cx="5292725" cy="7301230"/>
                    </a:xfrm>
                    <a:prstGeom prst="rect">
                      <a:avLst/>
                    </a:prstGeom>
                  </pic:spPr>
                </pic:pic>
              </a:graphicData>
            </a:graphic>
          </wp:inline>
        </w:drawing>
      </w:r>
      <w:r>
        <w:drawing>
          <wp:inline distT="0" distB="0" distL="0" distR="0">
            <wp:extent cx="5264150" cy="7359650"/>
            <wp:effectExtent l="0" t="0" r="12700" b="1270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21"/>
                    <a:srcRect l="9011" t="11860" r="9226" b="7396"/>
                    <a:stretch>
                      <a:fillRect/>
                    </a:stretch>
                  </pic:blipFill>
                  <pic:spPr>
                    <a:xfrm>
                      <a:off x="0" y="0"/>
                      <a:ext cx="5264150" cy="7359650"/>
                    </a:xfrm>
                    <a:prstGeom prst="rect">
                      <a:avLst/>
                    </a:prstGeom>
                  </pic:spPr>
                </pic:pic>
              </a:graphicData>
            </a:graphic>
          </wp:inline>
        </w:drawing>
      </w:r>
      <w:r>
        <w:drawing>
          <wp:inline distT="0" distB="0" distL="0" distR="0">
            <wp:extent cx="5213350" cy="7451090"/>
            <wp:effectExtent l="0" t="0" r="6350" b="1651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22"/>
                    <a:srcRect l="8819" t="11213" r="9180" b="5998"/>
                    <a:stretch>
                      <a:fillRect/>
                    </a:stretch>
                  </pic:blipFill>
                  <pic:spPr>
                    <a:xfrm>
                      <a:off x="0" y="0"/>
                      <a:ext cx="5213350" cy="7451090"/>
                    </a:xfrm>
                    <a:prstGeom prst="rect">
                      <a:avLst/>
                    </a:prstGeom>
                  </pic:spPr>
                </pic:pic>
              </a:graphicData>
            </a:graphic>
          </wp:inline>
        </w:drawing>
      </w:r>
      <w:r>
        <w:drawing>
          <wp:inline distT="0" distB="0" distL="0" distR="0">
            <wp:extent cx="5576570" cy="7248525"/>
            <wp:effectExtent l="0" t="0" r="508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3"/>
                    <a:srcRect l="5822" t="11812" r="5800" b="7044"/>
                    <a:stretch>
                      <a:fillRect/>
                    </a:stretch>
                  </pic:blipFill>
                  <pic:spPr>
                    <a:xfrm>
                      <a:off x="0" y="0"/>
                      <a:ext cx="5576570" cy="7248525"/>
                    </a:xfrm>
                    <a:prstGeom prst="rect">
                      <a:avLst/>
                    </a:prstGeom>
                  </pic:spPr>
                </pic:pic>
              </a:graphicData>
            </a:graphic>
          </wp:inline>
        </w:drawing>
      </w:r>
      <w:r>
        <w:drawing>
          <wp:inline distT="0" distB="0" distL="0" distR="0">
            <wp:extent cx="5235575" cy="7632700"/>
            <wp:effectExtent l="0" t="0" r="3175" b="635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24"/>
                    <a:srcRect l="9881" t="10334" r="9689" b="6969"/>
                    <a:stretch>
                      <a:fillRect/>
                    </a:stretch>
                  </pic:blipFill>
                  <pic:spPr>
                    <a:xfrm>
                      <a:off x="0" y="0"/>
                      <a:ext cx="5235575" cy="7632700"/>
                    </a:xfrm>
                    <a:prstGeom prst="rect">
                      <a:avLst/>
                    </a:prstGeom>
                  </pic:spPr>
                </pic:pic>
              </a:graphicData>
            </a:graphic>
          </wp:inline>
        </w:drawing>
      </w:r>
      <w:r>
        <w:drawing>
          <wp:inline distT="0" distB="0" distL="0" distR="0">
            <wp:extent cx="5570220" cy="7310755"/>
            <wp:effectExtent l="0" t="0" r="11430" b="444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25"/>
                    <a:srcRect l="7315" t="11996" r="6897" b="8474"/>
                    <a:stretch>
                      <a:fillRect/>
                    </a:stretch>
                  </pic:blipFill>
                  <pic:spPr>
                    <a:xfrm>
                      <a:off x="0" y="0"/>
                      <a:ext cx="5570220" cy="7310755"/>
                    </a:xfrm>
                    <a:prstGeom prst="rect">
                      <a:avLst/>
                    </a:prstGeom>
                  </pic:spPr>
                </pic:pic>
              </a:graphicData>
            </a:graphic>
          </wp:inline>
        </w:drawing>
      </w:r>
    </w:p>
    <w:p>
      <w:pPr>
        <w:pStyle w:val="2"/>
        <w:spacing w:line="240" w:lineRule="auto"/>
        <w:ind w:left="980" w:hanging="420"/>
      </w:pPr>
      <w:r>
        <w:br w:type="page"/>
      </w:r>
    </w:p>
    <w:p>
      <w:pPr>
        <w:spacing w:line="540" w:lineRule="exact"/>
        <w:ind w:firstLine="560"/>
        <w:rPr>
          <w:rFonts w:ascii="仿宋_GB2312"/>
        </w:rPr>
      </w:pPr>
    </w:p>
    <w:p>
      <w:pPr>
        <w:spacing w:line="540" w:lineRule="exact"/>
        <w:ind w:firstLine="560"/>
        <w:rPr>
          <w:rFonts w:ascii="仿宋_GB2312"/>
        </w:rPr>
      </w:pPr>
      <w:r>
        <w:drawing>
          <wp:anchor distT="0" distB="0" distL="114300" distR="114300" simplePos="0" relativeHeight="251684864" behindDoc="1" locked="0" layoutInCell="1" allowOverlap="1">
            <wp:simplePos x="0" y="0"/>
            <wp:positionH relativeFrom="column">
              <wp:posOffset>-267970</wp:posOffset>
            </wp:positionH>
            <wp:positionV relativeFrom="paragraph">
              <wp:posOffset>224790</wp:posOffset>
            </wp:positionV>
            <wp:extent cx="6108065" cy="2118360"/>
            <wp:effectExtent l="0" t="0" r="0" b="15240"/>
            <wp:wrapNone/>
            <wp:docPr id="690638" name="图片 690638"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38" name="图片 690638"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9303" t="49339" r="9933"/>
                    <a:stretch>
                      <a:fillRect/>
                    </a:stretch>
                  </pic:blipFill>
                  <pic:spPr>
                    <a:xfrm>
                      <a:off x="0" y="0"/>
                      <a:ext cx="6108065" cy="2118360"/>
                    </a:xfrm>
                    <a:prstGeom prst="rect">
                      <a:avLst/>
                    </a:prstGeom>
                    <a:noFill/>
                    <a:ln>
                      <a:noFill/>
                    </a:ln>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417" w:name="_Toc12229"/>
      <w:bookmarkStart w:id="1418" w:name="_Toc29598"/>
      <w:bookmarkStart w:id="1419" w:name="_Toc23891"/>
      <w:bookmarkStart w:id="1420" w:name="_Toc20396"/>
      <w:bookmarkStart w:id="1421" w:name="_Toc13555"/>
      <w:bookmarkStart w:id="1422" w:name="_Toc5509"/>
      <w:bookmarkStart w:id="1423" w:name="_Toc14044"/>
      <w:bookmarkStart w:id="1424" w:name="_Toc408"/>
      <w:bookmarkStart w:id="1425" w:name="_Toc5116"/>
      <w:bookmarkStart w:id="1426" w:name="_Toc10437"/>
      <w:bookmarkStart w:id="1427" w:name="_Toc28006"/>
      <w:r>
        <w:rPr>
          <w:rFonts w:hint="eastAsia"/>
        </w:rPr>
        <w:t>苏住建建〔2021〕23号</w:t>
      </w:r>
      <w:bookmarkEnd w:id="1417"/>
      <w:bookmarkEnd w:id="1418"/>
      <w:bookmarkEnd w:id="1419"/>
      <w:bookmarkEnd w:id="1420"/>
      <w:bookmarkEnd w:id="1421"/>
      <w:bookmarkEnd w:id="1422"/>
      <w:bookmarkEnd w:id="1423"/>
      <w:bookmarkEnd w:id="1424"/>
      <w:bookmarkEnd w:id="1425"/>
      <w:bookmarkEnd w:id="1426"/>
      <w:bookmarkEnd w:id="1427"/>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pageBreakBefore w:val="0"/>
        <w:kinsoku/>
        <w:wordWrap/>
        <w:overflowPunct/>
        <w:topLinePunct w:val="0"/>
        <w:autoSpaceDE/>
        <w:autoSpaceDN/>
        <w:bidi w:val="0"/>
        <w:adjustRightInd/>
        <w:snapToGrid/>
        <w:spacing w:line="600" w:lineRule="exact"/>
        <w:textAlignment w:val="auto"/>
        <w:rPr>
          <w:rStyle w:val="25"/>
          <w:rFonts w:ascii="方正小标宋_GBK"/>
          <w:b/>
          <w:bCs/>
          <w:color w:val="000000"/>
          <w:kern w:val="2"/>
        </w:rPr>
      </w:pPr>
      <w:bookmarkStart w:id="1428" w:name="_Toc14090"/>
      <w:bookmarkStart w:id="1429" w:name="_Toc23021"/>
      <w:bookmarkStart w:id="1430" w:name="_Toc10240"/>
      <w:bookmarkStart w:id="1431" w:name="_Toc29709"/>
      <w:bookmarkStart w:id="1432" w:name="_Toc28964"/>
      <w:bookmarkStart w:id="1433" w:name="_Toc6920"/>
      <w:bookmarkStart w:id="1434" w:name="_Toc8377"/>
      <w:bookmarkStart w:id="1435" w:name="_Toc29953"/>
      <w:bookmarkStart w:id="1436" w:name="_Toc1948"/>
      <w:bookmarkStart w:id="1437" w:name="_Toc9469"/>
      <w:bookmarkStart w:id="1438" w:name="_Toc25390"/>
      <w:bookmarkStart w:id="1439" w:name="_Toc17631"/>
      <w:bookmarkStart w:id="1440" w:name="_Toc30967"/>
      <w:bookmarkStart w:id="1441" w:name="_Toc7231"/>
      <w:r>
        <w:rPr>
          <w:rStyle w:val="25"/>
          <w:rFonts w:hint="eastAsia" w:ascii="方正小标宋_GBK"/>
          <w:b/>
          <w:bCs/>
          <w:color w:val="000000"/>
        </w:rPr>
        <w:t>市住房城乡建设局关于加强建设工程</w:t>
      </w:r>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p>
    <w:p>
      <w:pPr>
        <w:pStyle w:val="20"/>
        <w:pageBreakBefore w:val="0"/>
        <w:kinsoku/>
        <w:wordWrap/>
        <w:overflowPunct/>
        <w:topLinePunct w:val="0"/>
        <w:autoSpaceDE/>
        <w:autoSpaceDN/>
        <w:bidi w:val="0"/>
        <w:adjustRightInd/>
        <w:snapToGrid/>
        <w:spacing w:before="0" w:beforeAutospacing="0" w:after="0" w:afterAutospacing="0" w:line="600" w:lineRule="exact"/>
        <w:ind w:firstLine="883"/>
        <w:jc w:val="center"/>
        <w:textAlignment w:val="auto"/>
        <w:rPr>
          <w:rFonts w:ascii="方正小标宋_GBK" w:eastAsia="方正小标宋_GBK"/>
          <w:color w:val="000000"/>
          <w:sz w:val="44"/>
          <w:szCs w:val="44"/>
        </w:rPr>
      </w:pPr>
      <w:r>
        <w:rPr>
          <w:rStyle w:val="25"/>
          <w:rFonts w:hint="eastAsia" w:ascii="方正小标宋_GBK" w:eastAsia="方正小标宋_GBK"/>
          <w:color w:val="000000"/>
          <w:sz w:val="44"/>
          <w:szCs w:val="44"/>
        </w:rPr>
        <w:t>材料价格风险管控的通知</w:t>
      </w:r>
    </w:p>
    <w:p>
      <w:pPr>
        <w:spacing w:line="600" w:lineRule="exact"/>
        <w:ind w:firstLine="560"/>
        <w:rPr>
          <w:rFonts w:ascii="仿宋_GB2312"/>
          <w:color w:val="000000"/>
          <w:szCs w:val="32"/>
        </w:rPr>
      </w:pPr>
    </w:p>
    <w:p>
      <w:pPr>
        <w:ind w:firstLine="0" w:firstLineChars="0"/>
      </w:pPr>
      <w:r>
        <w:rPr>
          <w:rFonts w:hint="eastAsia" w:ascii="仿宋_GB2312"/>
          <w:color w:val="000000"/>
        </w:rPr>
        <w:t>各市、区住</w:t>
      </w:r>
      <w:r>
        <w:rPr>
          <w:rFonts w:hint="eastAsia"/>
        </w:rPr>
        <w:t>建局（委），苏州工业园区规建委，各有关单位：</w:t>
      </w:r>
    </w:p>
    <w:p>
      <w:pPr>
        <w:ind w:firstLine="560"/>
      </w:pPr>
      <w:r>
        <w:rPr>
          <w:rFonts w:hint="eastAsia"/>
        </w:rPr>
        <w:t>为稳定建筑市场秩序，降低建材价格波动带来的风险，保障工程质量安全，切实维护建设工程发承包双方的合法权益，根据有关法律、法规，按照公平合理的原则，现就加强我市建设工程材料价格风险管控有关事项通知如下：</w:t>
      </w:r>
    </w:p>
    <w:p>
      <w:pPr>
        <w:ind w:firstLine="560"/>
      </w:pPr>
      <w:r>
        <w:rPr>
          <w:rFonts w:hint="eastAsia"/>
        </w:rPr>
        <w:t>一、按照《建设工程工程量清单计价规范》（GB50500-2013）强制性条文第3.4.1款的规定，招标文件和合同中不得采用无限风险、所有风险或类似语句规定计价风险内容及范围。</w:t>
      </w:r>
    </w:p>
    <w:p>
      <w:pPr>
        <w:ind w:firstLine="560"/>
      </w:pPr>
      <w:r>
        <w:rPr>
          <w:rFonts w:hint="eastAsia"/>
        </w:rPr>
        <w:t>发承包双方在签订施工合同时，应充分考虑施工期间建材价格波动对工程实施的影响，在合同中明确可调价材料的类别名称、风险幅度以及超过风险幅度后的调整办法,公平合理分担主要材料价格波动引起的风险。</w:t>
      </w:r>
    </w:p>
    <w:p>
      <w:pPr>
        <w:ind w:firstLine="560"/>
      </w:pPr>
      <w:r>
        <w:rPr>
          <w:rFonts w:hint="eastAsia"/>
        </w:rPr>
        <w:t>二、已签订固定价格（包括固定总价与固定单价）施工合同的，主要材料（如水泥、砼、钢材、铜、铝、沥青、石材、玻璃等，以及其价值占单位专业工程分部分项工程费5%以上的其它材料、设备）价格在施工期间大幅涨跌和影响时间超出发承包双方所能预见的范围和承担的风险时，发承包双方按照风险共担原则，可协商签订补充协议。</w:t>
      </w:r>
    </w:p>
    <w:p>
      <w:pPr>
        <w:ind w:firstLine="560"/>
      </w:pPr>
      <w:r>
        <w:rPr>
          <w:rFonts w:hint="eastAsia"/>
        </w:rPr>
        <w:t>1.施工合同对材料的价格风险幅度以及差价调整办法未进行约定或者约定不明的，或对主要材料中全部或部分材料的差价约定不调整的，发承包双方可协商签订补充协议，对工程造价予以调整。</w:t>
      </w:r>
    </w:p>
    <w:p>
      <w:pPr>
        <w:ind w:firstLine="560"/>
      </w:pPr>
      <w:r>
        <w:rPr>
          <w:rFonts w:hint="eastAsia"/>
        </w:rPr>
        <w:t>2.当工程施工期间主要材料价格上涨或下降幅度在5%以内的，其差价由承包人承担或受益，超过5%的部分由发包人承担或受益。</w:t>
      </w:r>
    </w:p>
    <w:p>
      <w:pPr>
        <w:ind w:firstLine="560"/>
      </w:pPr>
      <w:r>
        <w:rPr>
          <w:rFonts w:hint="eastAsia"/>
        </w:rPr>
        <w:t>三、因发包人或承包人原因造成工期延误的，延误期间遇价格波动造成的差价损失由责任方承担。</w:t>
      </w:r>
    </w:p>
    <w:p>
      <w:pPr>
        <w:ind w:firstLine="560"/>
      </w:pPr>
      <w:r>
        <w:rPr>
          <w:rFonts w:hint="eastAsia"/>
        </w:rPr>
        <w:t>四、材料价差作为追加（减）合同款项，应与工程进度款同期支付。</w:t>
      </w:r>
    </w:p>
    <w:p>
      <w:pPr>
        <w:ind w:firstLine="560"/>
      </w:pPr>
      <w:r>
        <w:rPr>
          <w:rFonts w:hint="eastAsia"/>
        </w:rPr>
        <w:t>五、各市、区建设行政主管部门及其工程造价管理机构，应加强对建筑材料价格走势的监测、预研、预警，针对价格波动异常的主要材料，动态调整价格信息发布周期，增加发布频次；对发承包双方提出的建材价格争议和合同造价纠纷，按照“实事求是、客观公正”的原则，认真快速进行调解，以化解矛盾，促进工程建设顺利实施。</w:t>
      </w:r>
    </w:p>
    <w:p>
      <w:pPr>
        <w:ind w:firstLine="560"/>
      </w:pPr>
      <w:r>
        <w:rPr>
          <w:rFonts w:hint="eastAsia"/>
        </w:rPr>
        <w:t>六、依法可以不招标的建设工程，参照执行。</w:t>
      </w:r>
    </w:p>
    <w:p>
      <w:pPr>
        <w:ind w:firstLine="560"/>
      </w:pPr>
      <w:r>
        <w:rPr>
          <w:rFonts w:hint="eastAsia"/>
        </w:rPr>
        <w:t>本通知自发布之日起施行，已经完成竣工结算的建设工程不受本通知相关规定影响。有关文件规定与本通知不一致的，以本通知为准。</w:t>
      </w:r>
    </w:p>
    <w:p>
      <w:pPr>
        <w:pStyle w:val="2"/>
        <w:numPr>
          <w:ilvl w:val="0"/>
          <w:numId w:val="0"/>
        </w:numPr>
        <w:ind w:left="420"/>
      </w:pPr>
    </w:p>
    <w:p>
      <w:pPr>
        <w:ind w:firstLine="4200" w:firstLineChars="1500"/>
      </w:pPr>
      <w:r>
        <w:rPr>
          <w:rFonts w:hint="eastAsia"/>
        </w:rPr>
        <w:t>苏州市住房和城乡建设局</w:t>
      </w:r>
    </w:p>
    <w:p>
      <w:pPr>
        <w:ind w:firstLine="5040" w:firstLineChars="1800"/>
        <w:rPr>
          <w:rFonts w:ascii="仿宋" w:hAnsi="仿宋" w:eastAsia="仿宋"/>
          <w:szCs w:val="32"/>
        </w:rPr>
      </w:pPr>
      <w:r>
        <w:rPr>
          <w:rFonts w:hint="eastAsia"/>
        </w:rPr>
        <w:t>2021年5月</w:t>
      </w:r>
      <w:r>
        <w:rPr>
          <w:rFonts w:hint="eastAsia" w:ascii="仿宋_GB2312" w:hAnsi="仿宋"/>
          <w:color w:val="000000"/>
          <w:szCs w:val="32"/>
        </w:rPr>
        <w:t>24日</w:t>
      </w:r>
      <w:r>
        <w:rPr>
          <w:rFonts w:hint="eastAsia" w:ascii="仿宋_GB2312"/>
          <w:color w:val="000000"/>
          <w:spacing w:val="-10"/>
          <w:szCs w:val="32"/>
        </w:rPr>
        <w:t xml:space="preserve"> </w:t>
      </w:r>
    </w:p>
    <w:p>
      <w:pPr>
        <w:widowControl/>
        <w:ind w:firstLine="560"/>
        <w:jc w:val="left"/>
      </w:pPr>
      <w:r>
        <w:br w:type="page"/>
      </w:r>
    </w:p>
    <w:p>
      <w:pPr>
        <w:spacing w:line="540" w:lineRule="exact"/>
        <w:ind w:firstLine="560"/>
        <w:rPr>
          <w:rFonts w:ascii="仿宋_GB2312"/>
        </w:rPr>
      </w:pPr>
      <w:r>
        <w:drawing>
          <wp:anchor distT="0" distB="0" distL="114300" distR="114300" simplePos="0" relativeHeight="251685888" behindDoc="1" locked="0" layoutInCell="1" allowOverlap="1">
            <wp:simplePos x="0" y="0"/>
            <wp:positionH relativeFrom="column">
              <wp:posOffset>-184785</wp:posOffset>
            </wp:positionH>
            <wp:positionV relativeFrom="paragraph">
              <wp:posOffset>-88900</wp:posOffset>
            </wp:positionV>
            <wp:extent cx="5977255" cy="2124075"/>
            <wp:effectExtent l="0" t="0" r="0" b="8890"/>
            <wp:wrapNone/>
            <wp:docPr id="691982" name="图片 691982"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82" name="图片 691982"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l="10403" t="49203" r="10563"/>
                    <a:stretch>
                      <a:fillRect/>
                    </a:stretch>
                  </pic:blipFill>
                  <pic:spPr>
                    <a:xfrm>
                      <a:off x="0" y="0"/>
                      <a:ext cx="5977255" cy="2124075"/>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442" w:name="_Toc16562"/>
      <w:bookmarkStart w:id="1443" w:name="_Toc9364"/>
      <w:bookmarkStart w:id="1444" w:name="_Toc17634"/>
      <w:bookmarkStart w:id="1445" w:name="_Toc6615"/>
      <w:bookmarkStart w:id="1446" w:name="_Toc24724"/>
      <w:bookmarkStart w:id="1447" w:name="_Toc23074"/>
      <w:bookmarkStart w:id="1448" w:name="_Toc17976"/>
      <w:bookmarkStart w:id="1449" w:name="_Toc25516"/>
      <w:bookmarkStart w:id="1450" w:name="_Toc15178"/>
      <w:bookmarkStart w:id="1451" w:name="_Toc16066"/>
      <w:bookmarkStart w:id="1452" w:name="_Toc3322"/>
      <w:r>
        <w:rPr>
          <w:rFonts w:hint="eastAsia"/>
        </w:rPr>
        <w:t>苏住建建〔2021〕38号</w:t>
      </w:r>
      <w:bookmarkEnd w:id="1442"/>
      <w:bookmarkEnd w:id="1443"/>
      <w:bookmarkEnd w:id="1444"/>
      <w:bookmarkEnd w:id="1445"/>
      <w:bookmarkEnd w:id="1446"/>
      <w:bookmarkEnd w:id="1447"/>
      <w:bookmarkEnd w:id="1448"/>
      <w:bookmarkEnd w:id="1449"/>
      <w:bookmarkEnd w:id="1450"/>
      <w:bookmarkEnd w:id="1451"/>
      <w:bookmarkEnd w:id="1452"/>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1453" w:name="_Toc625"/>
      <w:bookmarkStart w:id="1454" w:name="_Toc17003"/>
      <w:bookmarkStart w:id="1455" w:name="_Toc1494"/>
      <w:bookmarkStart w:id="1456" w:name="_Toc19693"/>
      <w:bookmarkStart w:id="1457" w:name="_Toc3455"/>
      <w:bookmarkStart w:id="1458" w:name="_Toc18431"/>
      <w:bookmarkStart w:id="1459" w:name="_Toc12890"/>
      <w:bookmarkStart w:id="1460" w:name="_Toc20672"/>
      <w:bookmarkStart w:id="1461" w:name="_Toc1417"/>
      <w:bookmarkStart w:id="1462" w:name="_Toc3009"/>
      <w:bookmarkStart w:id="1463" w:name="_Toc15508"/>
      <w:bookmarkStart w:id="1464" w:name="_Toc17603"/>
      <w:bookmarkStart w:id="1465" w:name="_Toc24178"/>
      <w:bookmarkStart w:id="1466" w:name="_Toc14684"/>
      <w:r>
        <w:rPr>
          <w:rFonts w:hint="eastAsia"/>
        </w:rPr>
        <w:t>市住房城乡建设局关于进一步优化</w:t>
      </w:r>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1467" w:name="_Toc19907"/>
      <w:bookmarkStart w:id="1468" w:name="_Toc25888"/>
      <w:bookmarkStart w:id="1469" w:name="_Toc389"/>
      <w:bookmarkStart w:id="1470" w:name="_Toc29849"/>
      <w:bookmarkStart w:id="1471" w:name="_Toc32168"/>
      <w:bookmarkStart w:id="1472" w:name="_Toc30845"/>
      <w:bookmarkStart w:id="1473" w:name="_Toc10496"/>
      <w:bookmarkStart w:id="1474" w:name="_Toc3269"/>
      <w:bookmarkStart w:id="1475" w:name="_Toc10365"/>
      <w:bookmarkStart w:id="1476" w:name="_Toc25046"/>
      <w:bookmarkStart w:id="1477" w:name="_Toc5646"/>
      <w:bookmarkStart w:id="1478" w:name="_Toc2098"/>
      <w:bookmarkStart w:id="1479" w:name="_Toc321"/>
      <w:bookmarkStart w:id="1480" w:name="_Toc28116"/>
      <w:r>
        <w:rPr>
          <w:rFonts w:hint="eastAsia"/>
        </w:rPr>
        <w:t>工程造价咨询服务管理的通知</w:t>
      </w:r>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pPr>
        <w:pStyle w:val="3"/>
      </w:pPr>
    </w:p>
    <w:p>
      <w:pPr>
        <w:ind w:firstLine="0" w:firstLineChars="0"/>
      </w:pPr>
      <w:r>
        <w:rPr>
          <w:rFonts w:hint="eastAsia"/>
        </w:rPr>
        <w:t>各市、区住建局（委），苏州工业园区规建委，各有关单位：</w:t>
      </w:r>
    </w:p>
    <w:p>
      <w:pPr>
        <w:ind w:firstLine="560"/>
      </w:pPr>
      <w:r>
        <w:rPr>
          <w:rFonts w:hint="eastAsia"/>
        </w:rPr>
        <w:t>为加强对工程造价咨询服务行为的指导，维护正常的造价咨询市场秩序，保障市场主体各方的合法权益，解决因结算审核收费方式与核减额挂钩，导致部分咨询企业和个人利用市场支配地位过度审核或故意核低造价，从而侵害当事人合法权益等突出问题，经研究，现就进一步优化工程造价咨询服务管理有关事项通知如下：</w:t>
      </w:r>
    </w:p>
    <w:p>
      <w:pPr>
        <w:ind w:firstLine="560"/>
      </w:pPr>
      <w:r>
        <w:rPr>
          <w:rFonts w:hint="eastAsia"/>
        </w:rPr>
        <w:t>一、工程造价咨询服务应遵循谁委托谁付费的原则，不得转嫁给他人。</w:t>
      </w:r>
    </w:p>
    <w:p>
      <w:pPr>
        <w:ind w:firstLine="560"/>
      </w:pPr>
      <w:r>
        <w:rPr>
          <w:rFonts w:hint="eastAsia"/>
        </w:rPr>
        <w:t>二、</w:t>
      </w:r>
      <w:bookmarkStart w:id="1481" w:name="_Hlk72269685"/>
      <w:r>
        <w:rPr>
          <w:rFonts w:hint="eastAsia"/>
        </w:rPr>
        <w:t>工程造价咨询服务机构，应遵循公平竞争、诚实守信、合法经营的原则，为委托人提供质量合格、价格合理的服务。鼓励优质优价，坚决遏制恶意低价竞争的行为。</w:t>
      </w:r>
    </w:p>
    <w:p>
      <w:pPr>
        <w:ind w:firstLine="560"/>
      </w:pPr>
      <w:r>
        <w:rPr>
          <w:rFonts w:hint="eastAsia"/>
        </w:rPr>
        <w:t>三、服务收费实行市场调节，咨询企业应在单位醒目位置，公示服务项目、服务内容、收费标准等信息，自觉接受委托人、行业主管部门及社会的监督。不得在标价或合同约定价格之外收取未予标明的费用。</w:t>
      </w:r>
      <w:bookmarkEnd w:id="1481"/>
    </w:p>
    <w:p>
      <w:pPr>
        <w:ind w:firstLine="560"/>
      </w:pPr>
      <w:r>
        <w:rPr>
          <w:rFonts w:hint="eastAsia"/>
        </w:rPr>
        <w:t>四、工程造价咨询企业在开展咨询服务时，不得损害社会公共利益和他人的合法权益；应按照行业规范、江苏省工程造价咨询业务指导规程等要求，向委托人及时提供符合要求的服务。</w:t>
      </w:r>
    </w:p>
    <w:p>
      <w:pPr>
        <w:ind w:firstLine="560"/>
      </w:pPr>
      <w:r>
        <w:rPr>
          <w:rFonts w:hint="eastAsia"/>
        </w:rPr>
        <w:t>五、工程造价咨询企业在开展咨询服务的结算审核时，必须做到公平公正，合理有据。为防止因结算审核收费方式的不合理而导致结算纠纷与矛盾发生，建议审核服务按基本收费+效益收费取费。</w:t>
      </w:r>
    </w:p>
    <w:p>
      <w:pPr>
        <w:ind w:firstLine="560"/>
      </w:pPr>
      <w:r>
        <w:rPr>
          <w:rFonts w:hint="eastAsia"/>
        </w:rPr>
        <w:t>基本收费以送审造价为基数，效益收费以送审造价中各项误差额绝对值之和为基数，按约定的费率收取。在保持收费总水平基本不变的前提下，效益收费占比不应超过总费用的50%。</w:t>
      </w:r>
    </w:p>
    <w:p>
      <w:pPr>
        <w:ind w:firstLine="560"/>
      </w:pPr>
      <w:bookmarkStart w:id="1482" w:name="_Hlk73622748"/>
      <w:r>
        <w:rPr>
          <w:rFonts w:hint="eastAsia"/>
        </w:rPr>
        <w:t>六、各级建设行政主管部门应加强日常监督管理，重点检查低价竞争的造价咨询企业的执业质量和合同履约情况，规范造价行业执业行为，引导造价咨询企业有序竞争，健康发展。造价咨询企业存在低价恶性竞争或不规范服务和收费行为的，一经查实，应将该行为录入信用系统，并向社会公开。</w:t>
      </w:r>
      <w:bookmarkEnd w:id="1482"/>
      <w:r>
        <w:rPr>
          <w:rFonts w:hint="eastAsia"/>
        </w:rPr>
        <w:t>施工企业送审结算造价存在高估冒算（一般以误差超10%以上为准）行为的，应对该行为予以通报，并录入建筑业企业信用综合评价系统。委托人接受服务，不按规范支付费用或转嫁他人支付的,应将该行为通报监管部门。</w:t>
      </w:r>
    </w:p>
    <w:p>
      <w:pPr>
        <w:ind w:firstLine="560"/>
      </w:pPr>
      <w:r>
        <w:rPr>
          <w:rFonts w:hint="eastAsia"/>
        </w:rPr>
        <w:t>七、建筑市场各方主体，在工程造价咨询活动中，应严格遵守有关工程建设的法律、法规或规章，遵循行业行为规范，诚信经营，自觉维护建筑市场秩序，共同营造良好的市场环境。</w:t>
      </w:r>
    </w:p>
    <w:p>
      <w:pPr>
        <w:ind w:firstLine="560"/>
      </w:pPr>
      <w:r>
        <w:rPr>
          <w:rFonts w:hint="eastAsia"/>
        </w:rPr>
        <w:t>2022年1月1日起，新签订的工程造价咨询服务合同，按本通知执行。</w:t>
      </w:r>
    </w:p>
    <w:p>
      <w:pPr>
        <w:ind w:firstLine="4200" w:firstLineChars="1500"/>
      </w:pPr>
      <w:r>
        <w:rPr>
          <w:rFonts w:hint="eastAsia"/>
        </w:rPr>
        <w:t>苏州市住房和城乡建设局</w:t>
      </w:r>
    </w:p>
    <w:p>
      <w:pPr>
        <w:ind w:firstLine="4564" w:firstLineChars="1630"/>
      </w:pPr>
      <w:r>
        <w:rPr>
          <w:rFonts w:hint="eastAsia"/>
        </w:rPr>
        <w:t>2021年7月14日</w:t>
      </w:r>
    </w:p>
    <w:p>
      <w:pPr>
        <w:spacing w:line="540" w:lineRule="exact"/>
        <w:ind w:firstLine="560"/>
        <w:rPr>
          <w:rFonts w:ascii="仿宋_GB2312"/>
        </w:rPr>
      </w:pPr>
      <w:r>
        <w:drawing>
          <wp:anchor distT="0" distB="0" distL="114300" distR="114300" simplePos="0" relativeHeight="251686912" behindDoc="1" locked="0" layoutInCell="1" allowOverlap="1">
            <wp:simplePos x="0" y="0"/>
            <wp:positionH relativeFrom="column">
              <wp:posOffset>-971550</wp:posOffset>
            </wp:positionH>
            <wp:positionV relativeFrom="paragraph">
              <wp:posOffset>-2100580</wp:posOffset>
            </wp:positionV>
            <wp:extent cx="7562850" cy="4181475"/>
            <wp:effectExtent l="0" t="0" r="0" b="4445"/>
            <wp:wrapNone/>
            <wp:docPr id="694669" name="图片 694669"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69" name="图片 694669" descr="苏州市住房和城乡建设局DL.wm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7562850" cy="4181475"/>
                    </a:xfrm>
                    <a:prstGeom prst="rect">
                      <a:avLst/>
                    </a:prstGeom>
                    <a:noFill/>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483" w:name="_Toc31296"/>
      <w:bookmarkStart w:id="1484" w:name="_Toc17755"/>
      <w:bookmarkStart w:id="1485" w:name="_Toc11159"/>
      <w:bookmarkStart w:id="1486" w:name="_Toc14235"/>
      <w:bookmarkStart w:id="1487" w:name="_Toc29529"/>
      <w:bookmarkStart w:id="1488" w:name="_Toc32137"/>
      <w:bookmarkStart w:id="1489" w:name="_Toc31863"/>
      <w:bookmarkStart w:id="1490" w:name="_Toc13704"/>
      <w:bookmarkStart w:id="1491" w:name="_Toc1229"/>
      <w:bookmarkStart w:id="1492" w:name="_Toc6855"/>
      <w:bookmarkStart w:id="1493" w:name="_Toc5491"/>
      <w:r>
        <w:rPr>
          <w:rFonts w:hint="eastAsia"/>
        </w:rPr>
        <w:t>苏住建建〔2021〕43号</w:t>
      </w:r>
      <w:bookmarkEnd w:id="1483"/>
      <w:bookmarkEnd w:id="1484"/>
      <w:bookmarkEnd w:id="1485"/>
      <w:bookmarkEnd w:id="1486"/>
      <w:bookmarkEnd w:id="1487"/>
      <w:bookmarkEnd w:id="1488"/>
      <w:bookmarkEnd w:id="1489"/>
      <w:bookmarkEnd w:id="1490"/>
      <w:bookmarkEnd w:id="1491"/>
      <w:bookmarkEnd w:id="1492"/>
      <w:bookmarkEnd w:id="1493"/>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pPr>
      <w:bookmarkStart w:id="1494" w:name="_Toc4926"/>
      <w:bookmarkStart w:id="1495" w:name="_Toc17085"/>
      <w:bookmarkStart w:id="1496" w:name="_Toc13066"/>
      <w:bookmarkStart w:id="1497" w:name="_Toc25324"/>
      <w:bookmarkStart w:id="1498" w:name="_Toc6327"/>
      <w:bookmarkStart w:id="1499" w:name="_Toc19909"/>
      <w:bookmarkStart w:id="1500" w:name="_Toc31227"/>
      <w:bookmarkStart w:id="1501" w:name="_Toc19418"/>
      <w:bookmarkStart w:id="1502" w:name="_Toc3074"/>
      <w:bookmarkStart w:id="1503" w:name="_Toc20522"/>
      <w:bookmarkStart w:id="1504" w:name="_Toc3185"/>
      <w:bookmarkStart w:id="1505" w:name="_Toc17847"/>
      <w:bookmarkStart w:id="1506" w:name="_Toc22138"/>
      <w:bookmarkStart w:id="1507" w:name="_Toc29868"/>
      <w:r>
        <w:rPr>
          <w:rFonts w:hint="eastAsia"/>
        </w:rPr>
        <w:t>市住房城乡建设局关于明确</w:t>
      </w:r>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p>
    <w:p>
      <w:pPr>
        <w:pStyle w:val="3"/>
      </w:pPr>
      <w:bookmarkStart w:id="1508" w:name="_Toc32009"/>
      <w:bookmarkStart w:id="1509" w:name="_Toc15820"/>
      <w:bookmarkStart w:id="1510" w:name="_Toc4222"/>
      <w:bookmarkStart w:id="1511" w:name="_Toc31517"/>
      <w:bookmarkStart w:id="1512" w:name="_Toc3392"/>
      <w:bookmarkStart w:id="1513" w:name="_Toc25622"/>
      <w:bookmarkStart w:id="1514" w:name="_Toc23559"/>
      <w:bookmarkStart w:id="1515" w:name="_Toc25232"/>
      <w:bookmarkStart w:id="1516" w:name="_Toc10450"/>
      <w:bookmarkStart w:id="1517" w:name="_Toc20068"/>
      <w:bookmarkStart w:id="1518" w:name="_Toc4067"/>
      <w:bookmarkStart w:id="1519" w:name="_Toc16629"/>
      <w:bookmarkStart w:id="1520" w:name="_Toc3606"/>
      <w:bookmarkStart w:id="1521" w:name="_Toc26763"/>
      <w:r>
        <w:rPr>
          <w:rFonts w:hint="eastAsia"/>
        </w:rPr>
        <w:t>房屋市政工程施工工地围挡品质提升</w:t>
      </w:r>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p>
    <w:p>
      <w:pPr>
        <w:pStyle w:val="3"/>
      </w:pPr>
      <w:bookmarkStart w:id="1522" w:name="_Toc10249"/>
      <w:bookmarkStart w:id="1523" w:name="_Toc5369"/>
      <w:bookmarkStart w:id="1524" w:name="_Toc13419"/>
      <w:bookmarkStart w:id="1525" w:name="_Toc16604"/>
      <w:bookmarkStart w:id="1526" w:name="_Toc6600"/>
      <w:bookmarkStart w:id="1527" w:name="_Toc16233"/>
      <w:bookmarkStart w:id="1528" w:name="_Toc19672"/>
      <w:bookmarkStart w:id="1529" w:name="_Toc13488"/>
      <w:bookmarkStart w:id="1530" w:name="_Toc7827"/>
      <w:bookmarkStart w:id="1531" w:name="_Toc6480"/>
      <w:bookmarkStart w:id="1532" w:name="_Toc207"/>
      <w:bookmarkStart w:id="1533" w:name="_Toc13739"/>
      <w:bookmarkStart w:id="1534" w:name="_Toc21302"/>
      <w:bookmarkStart w:id="1535" w:name="_Toc22933"/>
      <w:r>
        <w:rPr>
          <w:rFonts w:hint="eastAsia"/>
        </w:rPr>
        <w:t>相关费用计取办法的通知</w:t>
      </w:r>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pPr>
        <w:spacing w:line="600" w:lineRule="exact"/>
        <w:ind w:firstLine="560"/>
        <w:rPr>
          <w:rFonts w:ascii="仿宋_GB2312" w:hAnsi="仿宋"/>
          <w:color w:val="000000"/>
          <w:szCs w:val="32"/>
          <w:shd w:val="clear" w:color="auto" w:fill="FFFFFF"/>
        </w:rPr>
      </w:pPr>
    </w:p>
    <w:p>
      <w:pPr>
        <w:ind w:firstLine="560"/>
      </w:pPr>
      <w:r>
        <w:rPr>
          <w:rFonts w:hint="eastAsia"/>
        </w:rPr>
        <w:t>各市、区住建局（委），苏州工业园区规建委，市各有关部门：</w:t>
      </w:r>
    </w:p>
    <w:p>
      <w:pPr>
        <w:ind w:firstLine="560"/>
      </w:pPr>
      <w:r>
        <w:rPr>
          <w:rFonts w:hint="eastAsia"/>
        </w:rPr>
        <w:t>为落实《关于进一步美化城市环境做好房屋市政工程施工工地围挡品质提升工作的通知》（苏建函质〔2021〕199号），保障相关费用的投入，现就我市房屋建筑、市政工程施工工地围挡品质提升相关费用计取办法明确如下：</w:t>
      </w:r>
    </w:p>
    <w:p>
      <w:pPr>
        <w:ind w:firstLine="560"/>
      </w:pPr>
      <w:r>
        <w:rPr>
          <w:rFonts w:hint="eastAsia"/>
        </w:rPr>
        <w:t>按要求提升围挡品质的工程，围挡费用或临时设施费作相应调整。</w:t>
      </w:r>
    </w:p>
    <w:p>
      <w:pPr>
        <w:ind w:firstLine="560"/>
      </w:pPr>
      <w:r>
        <w:rPr>
          <w:rFonts w:hint="eastAsia"/>
        </w:rPr>
        <w:t>市政工程、城市地下综合管廊工程和城市轨道交通工程的施工工地围挡单价措施项目，根据品质提升要求拟定安全可靠的施工方案，予以计价。</w:t>
      </w:r>
    </w:p>
    <w:p>
      <w:pPr>
        <w:ind w:firstLine="560"/>
      </w:pPr>
      <w:r>
        <w:rPr>
          <w:rFonts w:hint="eastAsia"/>
        </w:rPr>
        <w:t>其他专业工程围挡品质提升后临时设施费费率作相应调整，调整后的参考费率详见下表：</w:t>
      </w:r>
    </w:p>
    <w:p>
      <w:pPr>
        <w:pStyle w:val="2"/>
        <w:numPr>
          <w:ilvl w:val="0"/>
          <w:numId w:val="0"/>
        </w:numPr>
        <w:ind w:left="420"/>
      </w:pPr>
    </w:p>
    <w:tbl>
      <w:tblPr>
        <w:tblStyle w:val="22"/>
        <w:tblpPr w:leftFromText="180" w:rightFromText="180" w:vertAnchor="text" w:horzAnchor="page" w:tblpX="2004" w:tblpY="226"/>
        <w:tblOverlap w:val="never"/>
        <w:tblW w:w="8451" w:type="dxa"/>
        <w:tblInd w:w="0" w:type="dxa"/>
        <w:tblLayout w:type="autofit"/>
        <w:tblCellMar>
          <w:top w:w="0" w:type="dxa"/>
          <w:left w:w="108" w:type="dxa"/>
          <w:bottom w:w="0" w:type="dxa"/>
          <w:right w:w="108" w:type="dxa"/>
        </w:tblCellMar>
      </w:tblPr>
      <w:tblGrid>
        <w:gridCol w:w="1407"/>
        <w:gridCol w:w="1610"/>
        <w:gridCol w:w="1274"/>
        <w:gridCol w:w="1274"/>
        <w:gridCol w:w="1610"/>
        <w:gridCol w:w="1276"/>
      </w:tblGrid>
      <w:tr>
        <w:tblPrEx>
          <w:tblCellMar>
            <w:top w:w="0" w:type="dxa"/>
            <w:left w:w="108" w:type="dxa"/>
            <w:bottom w:w="0" w:type="dxa"/>
            <w:right w:w="108" w:type="dxa"/>
          </w:tblCellMar>
        </w:tblPrEx>
        <w:trPr>
          <w:trHeight w:val="500" w:hRule="atLeast"/>
        </w:trPr>
        <w:tc>
          <w:tcPr>
            <w:tcW w:w="1407"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计税方法</w:t>
            </w:r>
          </w:p>
        </w:tc>
        <w:tc>
          <w:tcPr>
            <w:tcW w:w="7044" w:type="dxa"/>
            <w:gridSpan w:val="5"/>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各专业工程临时设施</w:t>
            </w:r>
            <w:r>
              <w:rPr>
                <w:rFonts w:hint="eastAsia" w:ascii="仿宋_GB2312" w:hAnsi="宋体" w:cs="仿宋_GB2312"/>
                <w:kern w:val="0"/>
                <w:sz w:val="24"/>
                <w:szCs w:val="24"/>
                <w:lang w:bidi="ar"/>
              </w:rPr>
              <w:t>费的参考</w:t>
            </w:r>
            <w:r>
              <w:rPr>
                <w:rFonts w:hint="eastAsia" w:ascii="仿宋_GB2312" w:hAnsi="宋体" w:cs="仿宋_GB2312"/>
                <w:color w:val="000000"/>
                <w:kern w:val="0"/>
                <w:sz w:val="24"/>
                <w:szCs w:val="24"/>
                <w:lang w:bidi="ar"/>
              </w:rPr>
              <w:t>费率（％）</w:t>
            </w:r>
          </w:p>
        </w:tc>
      </w:tr>
      <w:tr>
        <w:tblPrEx>
          <w:tblCellMar>
            <w:top w:w="0" w:type="dxa"/>
            <w:left w:w="108" w:type="dxa"/>
            <w:bottom w:w="0" w:type="dxa"/>
            <w:right w:w="108" w:type="dxa"/>
          </w:tblCellMar>
        </w:tblPrEx>
        <w:trPr>
          <w:trHeight w:val="520" w:hRule="atLeast"/>
        </w:trPr>
        <w:tc>
          <w:tcPr>
            <w:tcW w:w="1407" w:type="dxa"/>
            <w:vMerge w:val="continue"/>
            <w:tcBorders>
              <w:top w:val="single" w:color="000000" w:sz="4" w:space="0"/>
              <w:left w:val="single" w:color="000000" w:sz="4" w:space="0"/>
              <w:bottom w:val="single" w:color="000000" w:sz="4" w:space="0"/>
              <w:right w:val="single" w:color="000000" w:sz="4" w:space="0"/>
            </w:tcBorders>
            <w:noWrap/>
            <w:vAlign w:val="center"/>
          </w:tcPr>
          <w:p>
            <w:pPr>
              <w:ind w:firstLine="0" w:firstLineChars="0"/>
              <w:jc w:val="center"/>
              <w:rPr>
                <w:rFonts w:ascii="仿宋_GB2312" w:hAnsi="宋体" w:cs="仿宋_GB2312"/>
                <w:color w:val="000000"/>
                <w:sz w:val="24"/>
                <w:szCs w:val="24"/>
              </w:rPr>
            </w:pPr>
          </w:p>
        </w:tc>
        <w:tc>
          <w:tcPr>
            <w:tcW w:w="1610"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建筑工程 （含装配式）</w:t>
            </w:r>
          </w:p>
        </w:tc>
        <w:tc>
          <w:tcPr>
            <w:tcW w:w="1274"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单独装饰</w:t>
            </w:r>
          </w:p>
        </w:tc>
        <w:tc>
          <w:tcPr>
            <w:tcW w:w="1274"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安装工程</w:t>
            </w:r>
          </w:p>
        </w:tc>
        <w:tc>
          <w:tcPr>
            <w:tcW w:w="1610"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修缮土建    （修缮安装）</w:t>
            </w:r>
          </w:p>
        </w:tc>
        <w:tc>
          <w:tcPr>
            <w:tcW w:w="1276"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仿古     （园林）</w:t>
            </w:r>
          </w:p>
        </w:tc>
      </w:tr>
      <w:tr>
        <w:tblPrEx>
          <w:tblCellMar>
            <w:top w:w="0" w:type="dxa"/>
            <w:left w:w="108" w:type="dxa"/>
            <w:bottom w:w="0" w:type="dxa"/>
            <w:right w:w="108" w:type="dxa"/>
          </w:tblCellMar>
        </w:tblPrEx>
        <w:trPr>
          <w:trHeight w:val="520" w:hRule="atLeast"/>
        </w:trPr>
        <w:tc>
          <w:tcPr>
            <w:tcW w:w="1407" w:type="dxa"/>
            <w:vMerge w:val="continue"/>
            <w:tcBorders>
              <w:top w:val="single" w:color="000000" w:sz="4" w:space="0"/>
              <w:left w:val="single" w:color="000000" w:sz="4" w:space="0"/>
              <w:bottom w:val="single" w:color="000000" w:sz="4" w:space="0"/>
              <w:right w:val="single" w:color="000000" w:sz="4" w:space="0"/>
            </w:tcBorders>
            <w:noWrap/>
            <w:vAlign w:val="center"/>
          </w:tcPr>
          <w:p>
            <w:pPr>
              <w:ind w:firstLine="0" w:firstLineChars="0"/>
              <w:jc w:val="center"/>
              <w:rPr>
                <w:rFonts w:ascii="仿宋_GB2312" w:hAnsi="宋体" w:cs="仿宋_GB2312"/>
                <w:color w:val="000000"/>
                <w:sz w:val="24"/>
                <w:szCs w:val="24"/>
              </w:rPr>
            </w:pPr>
          </w:p>
        </w:tc>
        <w:tc>
          <w:tcPr>
            <w:tcW w:w="1610"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rFonts w:ascii="仿宋_GB2312" w:hAnsi="宋体" w:cs="仿宋_GB2312"/>
                <w:color w:val="000000"/>
                <w:sz w:val="24"/>
                <w:szCs w:val="24"/>
              </w:rPr>
            </w:pPr>
          </w:p>
        </w:tc>
        <w:tc>
          <w:tcPr>
            <w:tcW w:w="1274"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rFonts w:ascii="仿宋_GB2312" w:hAnsi="宋体" w:cs="仿宋_GB2312"/>
                <w:color w:val="000000"/>
                <w:sz w:val="24"/>
                <w:szCs w:val="24"/>
              </w:rPr>
            </w:pPr>
          </w:p>
        </w:tc>
        <w:tc>
          <w:tcPr>
            <w:tcW w:w="1274"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rFonts w:ascii="仿宋_GB2312" w:hAnsi="宋体" w:cs="仿宋_GB2312"/>
                <w:color w:val="000000"/>
                <w:sz w:val="24"/>
                <w:szCs w:val="24"/>
              </w:rPr>
            </w:pPr>
          </w:p>
        </w:tc>
        <w:tc>
          <w:tcPr>
            <w:tcW w:w="1610"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rFonts w:ascii="仿宋_GB2312" w:hAnsi="宋体" w:cs="仿宋_GB2312"/>
                <w:color w:val="000000"/>
                <w:sz w:val="24"/>
                <w:szCs w:val="24"/>
              </w:rPr>
            </w:pPr>
          </w:p>
        </w:tc>
        <w:tc>
          <w:tcPr>
            <w:tcW w:w="1276"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rFonts w:ascii="仿宋_GB2312" w:hAnsi="宋体" w:cs="仿宋_GB2312"/>
                <w:color w:val="000000"/>
                <w:sz w:val="24"/>
                <w:szCs w:val="24"/>
              </w:rPr>
            </w:pPr>
          </w:p>
        </w:tc>
      </w:tr>
      <w:tr>
        <w:tblPrEx>
          <w:tblCellMar>
            <w:top w:w="0" w:type="dxa"/>
            <w:left w:w="108" w:type="dxa"/>
            <w:bottom w:w="0" w:type="dxa"/>
            <w:right w:w="108" w:type="dxa"/>
          </w:tblCellMar>
        </w:tblPrEx>
        <w:trPr>
          <w:trHeight w:val="360" w:hRule="atLeast"/>
        </w:trPr>
        <w:tc>
          <w:tcPr>
            <w:tcW w:w="1407"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ind w:firstLine="0" w:firstLineChars="0"/>
              <w:jc w:val="center"/>
              <w:textAlignment w:val="center"/>
              <w:rPr>
                <w:rFonts w:ascii="仿宋_GB2312" w:hAnsi="宋体" w:cs="仿宋_GB2312"/>
                <w:color w:val="000000"/>
                <w:sz w:val="24"/>
                <w:szCs w:val="24"/>
              </w:rPr>
            </w:pPr>
            <w:r>
              <w:rPr>
                <w:rFonts w:hint="eastAsia" w:ascii="仿宋_GB2312" w:hAnsi="宋体" w:cs="仿宋_GB2312"/>
                <w:color w:val="000000"/>
                <w:kern w:val="0"/>
                <w:sz w:val="24"/>
                <w:szCs w:val="24"/>
                <w:lang w:bidi="ar"/>
              </w:rPr>
              <w:t>一般计税</w:t>
            </w:r>
          </w:p>
        </w:tc>
        <w:tc>
          <w:tcPr>
            <w:tcW w:w="1610"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30</w:t>
            </w:r>
            <w:r>
              <w:rPr>
                <w:color w:val="000000"/>
                <w:kern w:val="0"/>
                <w:sz w:val="24"/>
                <w:szCs w:val="24"/>
                <w:lang w:bidi="ar"/>
              </w:rPr>
              <w:t xml:space="preserve"> </w:t>
            </w:r>
          </w:p>
        </w:tc>
        <w:tc>
          <w:tcPr>
            <w:tcW w:w="1274"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1.35</w:t>
            </w:r>
          </w:p>
        </w:tc>
        <w:tc>
          <w:tcPr>
            <w:tcW w:w="1274"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1.4</w:t>
            </w:r>
            <w:r>
              <w:rPr>
                <w:rFonts w:hint="eastAsia"/>
                <w:color w:val="000000"/>
                <w:kern w:val="0"/>
                <w:sz w:val="24"/>
                <w:szCs w:val="24"/>
                <w:lang w:bidi="ar"/>
              </w:rPr>
              <w:t>5</w:t>
            </w:r>
          </w:p>
        </w:tc>
        <w:tc>
          <w:tcPr>
            <w:tcW w:w="1610" w:type="dxa"/>
            <w:tcBorders>
              <w:top w:val="single" w:color="000000" w:sz="4" w:space="0"/>
              <w:left w:val="single" w:color="000000" w:sz="4" w:space="0"/>
              <w:bottom w:val="nil"/>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10</w:t>
            </w:r>
          </w:p>
        </w:tc>
        <w:tc>
          <w:tcPr>
            <w:tcW w:w="1276" w:type="dxa"/>
            <w:tcBorders>
              <w:top w:val="single" w:color="000000" w:sz="4" w:space="0"/>
              <w:left w:val="single" w:color="000000" w:sz="4" w:space="0"/>
              <w:bottom w:val="nil"/>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2.6</w:t>
            </w:r>
            <w:r>
              <w:rPr>
                <w:rFonts w:hint="eastAsia"/>
                <w:color w:val="000000"/>
                <w:kern w:val="0"/>
                <w:sz w:val="24"/>
                <w:szCs w:val="24"/>
                <w:lang w:bidi="ar"/>
              </w:rPr>
              <w:t>0</w:t>
            </w:r>
          </w:p>
        </w:tc>
      </w:tr>
      <w:tr>
        <w:tblPrEx>
          <w:tblCellMar>
            <w:top w:w="0" w:type="dxa"/>
            <w:left w:w="108" w:type="dxa"/>
            <w:bottom w:w="0" w:type="dxa"/>
            <w:right w:w="108" w:type="dxa"/>
          </w:tblCellMar>
        </w:tblPrEx>
        <w:trPr>
          <w:trHeight w:val="360" w:hRule="atLeast"/>
        </w:trPr>
        <w:tc>
          <w:tcPr>
            <w:tcW w:w="1407" w:type="dxa"/>
            <w:vMerge w:val="continue"/>
            <w:tcBorders>
              <w:top w:val="single" w:color="000000" w:sz="4" w:space="0"/>
              <w:left w:val="single" w:color="000000" w:sz="4" w:space="0"/>
              <w:bottom w:val="single" w:color="000000" w:sz="4" w:space="0"/>
              <w:right w:val="single" w:color="000000" w:sz="4" w:space="0"/>
            </w:tcBorders>
            <w:noWrap/>
            <w:vAlign w:val="center"/>
          </w:tcPr>
          <w:p>
            <w:pPr>
              <w:ind w:firstLine="0" w:firstLineChars="0"/>
              <w:jc w:val="center"/>
              <w:rPr>
                <w:rFonts w:ascii="仿宋_GB2312" w:hAnsi="宋体" w:cs="仿宋_GB2312"/>
                <w:color w:val="000000"/>
                <w:sz w:val="24"/>
                <w:szCs w:val="24"/>
              </w:rPr>
            </w:pPr>
          </w:p>
        </w:tc>
        <w:tc>
          <w:tcPr>
            <w:tcW w:w="1610"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color w:val="000000"/>
                <w:sz w:val="24"/>
                <w:szCs w:val="24"/>
              </w:rPr>
            </w:pPr>
          </w:p>
        </w:tc>
        <w:tc>
          <w:tcPr>
            <w:tcW w:w="1274"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color w:val="000000"/>
                <w:sz w:val="24"/>
                <w:szCs w:val="24"/>
              </w:rPr>
            </w:pPr>
          </w:p>
        </w:tc>
        <w:tc>
          <w:tcPr>
            <w:tcW w:w="1274"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color w:val="000000"/>
                <w:sz w:val="24"/>
                <w:szCs w:val="24"/>
              </w:rPr>
            </w:pPr>
          </w:p>
        </w:tc>
        <w:tc>
          <w:tcPr>
            <w:tcW w:w="1610" w:type="dxa"/>
            <w:tcBorders>
              <w:top w:val="nil"/>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w:t>
            </w:r>
            <w:r>
              <w:rPr>
                <w:color w:val="000000"/>
                <w:kern w:val="0"/>
                <w:sz w:val="24"/>
                <w:szCs w:val="24"/>
                <w:lang w:bidi="ar"/>
              </w:rPr>
              <w:t>1.4</w:t>
            </w:r>
            <w:r>
              <w:rPr>
                <w:rFonts w:hint="eastAsia"/>
                <w:color w:val="000000"/>
                <w:kern w:val="0"/>
                <w:sz w:val="24"/>
                <w:szCs w:val="24"/>
                <w:lang w:bidi="ar"/>
              </w:rPr>
              <w:t>5</w:t>
            </w:r>
            <w:r>
              <w:rPr>
                <w:rFonts w:hint="eastAsia" w:ascii="宋体" w:hAnsi="宋体" w:cs="宋体"/>
                <w:color w:val="000000"/>
                <w:kern w:val="0"/>
                <w:sz w:val="24"/>
                <w:szCs w:val="24"/>
                <w:lang w:bidi="ar"/>
              </w:rPr>
              <w:t>）</w:t>
            </w:r>
          </w:p>
        </w:tc>
        <w:tc>
          <w:tcPr>
            <w:tcW w:w="1276" w:type="dxa"/>
            <w:tcBorders>
              <w:top w:val="nil"/>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w:t>
            </w:r>
            <w:r>
              <w:rPr>
                <w:color w:val="000000"/>
                <w:kern w:val="0"/>
                <w:sz w:val="24"/>
                <w:szCs w:val="24"/>
                <w:lang w:bidi="ar"/>
              </w:rPr>
              <w:t>0.</w:t>
            </w:r>
            <w:r>
              <w:rPr>
                <w:rFonts w:hint="eastAsia"/>
                <w:color w:val="000000"/>
                <w:kern w:val="0"/>
                <w:sz w:val="24"/>
                <w:szCs w:val="24"/>
                <w:lang w:bidi="ar"/>
              </w:rPr>
              <w:t>80</w:t>
            </w:r>
            <w:r>
              <w:rPr>
                <w:rFonts w:hint="eastAsia" w:ascii="宋体" w:hAnsi="宋体" w:cs="宋体"/>
                <w:color w:val="000000"/>
                <w:kern w:val="0"/>
                <w:sz w:val="24"/>
                <w:szCs w:val="24"/>
                <w:lang w:bidi="ar"/>
              </w:rPr>
              <w:t>）</w:t>
            </w:r>
          </w:p>
        </w:tc>
      </w:tr>
      <w:tr>
        <w:tblPrEx>
          <w:tblCellMar>
            <w:top w:w="0" w:type="dxa"/>
            <w:left w:w="108" w:type="dxa"/>
            <w:bottom w:w="0" w:type="dxa"/>
            <w:right w:w="108" w:type="dxa"/>
          </w:tblCellMar>
        </w:tblPrEx>
        <w:trPr>
          <w:trHeight w:val="360" w:hRule="atLeast"/>
        </w:trPr>
        <w:tc>
          <w:tcPr>
            <w:tcW w:w="1407"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ind w:firstLine="0" w:firstLineChars="0"/>
              <w:jc w:val="center"/>
              <w:textAlignment w:val="center"/>
              <w:rPr>
                <w:rFonts w:ascii="宋体" w:hAnsi="宋体" w:cs="宋体"/>
                <w:color w:val="000000"/>
                <w:sz w:val="22"/>
              </w:rPr>
            </w:pPr>
            <w:r>
              <w:rPr>
                <w:rFonts w:hint="eastAsia" w:ascii="宋体" w:hAnsi="宋体" w:cs="宋体"/>
                <w:color w:val="000000"/>
                <w:kern w:val="0"/>
                <w:sz w:val="22"/>
                <w:lang w:bidi="ar"/>
              </w:rPr>
              <w:t>简易计税</w:t>
            </w:r>
          </w:p>
        </w:tc>
        <w:tc>
          <w:tcPr>
            <w:tcW w:w="1610"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20</w:t>
            </w:r>
            <w:r>
              <w:rPr>
                <w:color w:val="000000"/>
                <w:kern w:val="0"/>
                <w:sz w:val="24"/>
                <w:szCs w:val="24"/>
                <w:lang w:bidi="ar"/>
              </w:rPr>
              <w:t xml:space="preserve"> </w:t>
            </w:r>
          </w:p>
        </w:tc>
        <w:tc>
          <w:tcPr>
            <w:tcW w:w="1274"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1.15</w:t>
            </w:r>
          </w:p>
        </w:tc>
        <w:tc>
          <w:tcPr>
            <w:tcW w:w="1274" w:type="dxa"/>
            <w:vMerge w:val="restart"/>
            <w:tcBorders>
              <w:top w:val="single" w:color="000000" w:sz="4" w:space="0"/>
              <w:left w:val="single" w:color="000000" w:sz="4" w:space="0"/>
              <w:bottom w:val="single" w:color="000000" w:sz="4" w:space="0"/>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1.3</w:t>
            </w:r>
            <w:r>
              <w:rPr>
                <w:rFonts w:hint="eastAsia"/>
                <w:color w:val="000000"/>
                <w:kern w:val="0"/>
                <w:sz w:val="24"/>
                <w:szCs w:val="24"/>
                <w:lang w:bidi="ar"/>
              </w:rPr>
              <w:t>5</w:t>
            </w:r>
          </w:p>
        </w:tc>
        <w:tc>
          <w:tcPr>
            <w:tcW w:w="1610" w:type="dxa"/>
            <w:tcBorders>
              <w:top w:val="single" w:color="000000" w:sz="4" w:space="0"/>
              <w:left w:val="single" w:color="000000" w:sz="4" w:space="0"/>
              <w:bottom w:val="nil"/>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2.</w:t>
            </w:r>
            <w:r>
              <w:rPr>
                <w:rFonts w:hint="eastAsia"/>
                <w:color w:val="000000"/>
                <w:kern w:val="0"/>
                <w:sz w:val="24"/>
                <w:szCs w:val="24"/>
                <w:lang w:bidi="ar"/>
              </w:rPr>
              <w:t>00</w:t>
            </w:r>
          </w:p>
        </w:tc>
        <w:tc>
          <w:tcPr>
            <w:tcW w:w="1276" w:type="dxa"/>
            <w:tcBorders>
              <w:top w:val="single" w:color="000000" w:sz="4" w:space="0"/>
              <w:left w:val="single" w:color="000000" w:sz="4" w:space="0"/>
              <w:bottom w:val="nil"/>
              <w:right w:val="single" w:color="000000" w:sz="4" w:space="0"/>
            </w:tcBorders>
            <w:vAlign w:val="center"/>
          </w:tcPr>
          <w:p>
            <w:pPr>
              <w:widowControl/>
              <w:ind w:firstLine="0" w:firstLineChars="0"/>
              <w:jc w:val="center"/>
              <w:textAlignment w:val="center"/>
              <w:rPr>
                <w:color w:val="000000"/>
                <w:sz w:val="24"/>
                <w:szCs w:val="24"/>
              </w:rPr>
            </w:pPr>
            <w:r>
              <w:rPr>
                <w:color w:val="000000"/>
                <w:kern w:val="0"/>
                <w:sz w:val="24"/>
                <w:szCs w:val="24"/>
                <w:lang w:bidi="ar"/>
              </w:rPr>
              <w:t>2.5</w:t>
            </w:r>
            <w:r>
              <w:rPr>
                <w:rFonts w:hint="eastAsia"/>
                <w:color w:val="000000"/>
                <w:kern w:val="0"/>
                <w:sz w:val="24"/>
                <w:szCs w:val="24"/>
                <w:lang w:bidi="ar"/>
              </w:rPr>
              <w:t>0</w:t>
            </w:r>
          </w:p>
        </w:tc>
      </w:tr>
      <w:tr>
        <w:tblPrEx>
          <w:tblCellMar>
            <w:top w:w="0" w:type="dxa"/>
            <w:left w:w="108" w:type="dxa"/>
            <w:bottom w:w="0" w:type="dxa"/>
            <w:right w:w="108" w:type="dxa"/>
          </w:tblCellMar>
        </w:tblPrEx>
        <w:trPr>
          <w:trHeight w:val="360" w:hRule="atLeast"/>
        </w:trPr>
        <w:tc>
          <w:tcPr>
            <w:tcW w:w="1407" w:type="dxa"/>
            <w:vMerge w:val="continue"/>
            <w:tcBorders>
              <w:top w:val="single" w:color="000000" w:sz="4" w:space="0"/>
              <w:left w:val="single" w:color="000000" w:sz="4" w:space="0"/>
              <w:bottom w:val="single" w:color="000000" w:sz="4" w:space="0"/>
              <w:right w:val="single" w:color="000000" w:sz="4" w:space="0"/>
            </w:tcBorders>
            <w:noWrap/>
            <w:vAlign w:val="center"/>
          </w:tcPr>
          <w:p>
            <w:pPr>
              <w:ind w:firstLine="0" w:firstLineChars="0"/>
              <w:jc w:val="center"/>
              <w:rPr>
                <w:rFonts w:ascii="宋体" w:hAnsi="宋体" w:cs="宋体"/>
                <w:color w:val="000000"/>
                <w:sz w:val="22"/>
              </w:rPr>
            </w:pPr>
          </w:p>
        </w:tc>
        <w:tc>
          <w:tcPr>
            <w:tcW w:w="1610"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color w:val="000000"/>
                <w:sz w:val="24"/>
                <w:szCs w:val="24"/>
              </w:rPr>
            </w:pPr>
          </w:p>
        </w:tc>
        <w:tc>
          <w:tcPr>
            <w:tcW w:w="1274"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color w:val="000000"/>
                <w:sz w:val="24"/>
                <w:szCs w:val="24"/>
              </w:rPr>
            </w:pPr>
          </w:p>
        </w:tc>
        <w:tc>
          <w:tcPr>
            <w:tcW w:w="1274" w:type="dxa"/>
            <w:vMerge w:val="continue"/>
            <w:tcBorders>
              <w:top w:val="single" w:color="000000" w:sz="4" w:space="0"/>
              <w:left w:val="single" w:color="000000" w:sz="4" w:space="0"/>
              <w:bottom w:val="single" w:color="000000" w:sz="4" w:space="0"/>
              <w:right w:val="single" w:color="000000" w:sz="4" w:space="0"/>
            </w:tcBorders>
            <w:vAlign w:val="center"/>
          </w:tcPr>
          <w:p>
            <w:pPr>
              <w:ind w:firstLine="0" w:firstLineChars="0"/>
              <w:jc w:val="center"/>
              <w:rPr>
                <w:color w:val="000000"/>
                <w:sz w:val="24"/>
                <w:szCs w:val="24"/>
              </w:rPr>
            </w:pPr>
          </w:p>
        </w:tc>
        <w:tc>
          <w:tcPr>
            <w:tcW w:w="1610" w:type="dxa"/>
            <w:tcBorders>
              <w:top w:val="nil"/>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w:t>
            </w:r>
            <w:r>
              <w:rPr>
                <w:color w:val="000000"/>
                <w:kern w:val="0"/>
                <w:sz w:val="24"/>
                <w:szCs w:val="24"/>
                <w:lang w:bidi="ar"/>
              </w:rPr>
              <w:t>1.3</w:t>
            </w:r>
            <w:r>
              <w:rPr>
                <w:rFonts w:hint="eastAsia"/>
                <w:color w:val="000000"/>
                <w:kern w:val="0"/>
                <w:sz w:val="24"/>
                <w:szCs w:val="24"/>
                <w:lang w:bidi="ar"/>
              </w:rPr>
              <w:t>5</w:t>
            </w:r>
            <w:r>
              <w:rPr>
                <w:rFonts w:hint="eastAsia" w:ascii="宋体" w:hAnsi="宋体" w:cs="宋体"/>
                <w:color w:val="000000"/>
                <w:kern w:val="0"/>
                <w:sz w:val="24"/>
                <w:szCs w:val="24"/>
                <w:lang w:bidi="ar"/>
              </w:rPr>
              <w:t>）</w:t>
            </w:r>
          </w:p>
        </w:tc>
        <w:tc>
          <w:tcPr>
            <w:tcW w:w="1276" w:type="dxa"/>
            <w:tcBorders>
              <w:top w:val="nil"/>
              <w:left w:val="single" w:color="000000" w:sz="4" w:space="0"/>
              <w:bottom w:val="single" w:color="000000" w:sz="4" w:space="0"/>
              <w:right w:val="single" w:color="000000" w:sz="4" w:space="0"/>
            </w:tcBorders>
            <w:vAlign w:val="center"/>
          </w:tcPr>
          <w:p>
            <w:pPr>
              <w:widowControl/>
              <w:ind w:firstLine="0" w:firstLineChars="0"/>
              <w:jc w:val="center"/>
              <w:textAlignment w:val="center"/>
              <w:rPr>
                <w:rFonts w:ascii="宋体" w:hAnsi="宋体" w:cs="宋体"/>
                <w:color w:val="000000"/>
                <w:sz w:val="24"/>
                <w:szCs w:val="24"/>
              </w:rPr>
            </w:pPr>
            <w:r>
              <w:rPr>
                <w:rFonts w:hint="eastAsia" w:ascii="宋体" w:hAnsi="宋体" w:cs="宋体"/>
                <w:color w:val="000000"/>
                <w:kern w:val="0"/>
                <w:sz w:val="24"/>
                <w:szCs w:val="24"/>
                <w:lang w:bidi="ar"/>
              </w:rPr>
              <w:t>（</w:t>
            </w:r>
            <w:r>
              <w:rPr>
                <w:color w:val="000000"/>
                <w:kern w:val="0"/>
                <w:sz w:val="24"/>
                <w:szCs w:val="24"/>
                <w:lang w:bidi="ar"/>
              </w:rPr>
              <w:t>0.</w:t>
            </w:r>
            <w:r>
              <w:rPr>
                <w:rFonts w:hint="eastAsia"/>
                <w:color w:val="000000"/>
                <w:kern w:val="0"/>
                <w:sz w:val="24"/>
                <w:szCs w:val="24"/>
                <w:lang w:bidi="ar"/>
              </w:rPr>
              <w:t>70</w:t>
            </w:r>
            <w:r>
              <w:rPr>
                <w:rFonts w:hint="eastAsia" w:ascii="宋体" w:hAnsi="宋体" w:cs="宋体"/>
                <w:color w:val="000000"/>
                <w:kern w:val="0"/>
                <w:sz w:val="24"/>
                <w:szCs w:val="24"/>
                <w:lang w:bidi="ar"/>
              </w:rPr>
              <w:t>）</w:t>
            </w:r>
          </w:p>
        </w:tc>
      </w:tr>
    </w:tbl>
    <w:p>
      <w:pPr>
        <w:ind w:firstLine="560"/>
      </w:pPr>
      <w:r>
        <w:rPr>
          <w:rFonts w:hint="eastAsia" w:ascii="仿宋_GB2312" w:hAnsi="仿宋"/>
          <w:color w:val="000000"/>
          <w:szCs w:val="32"/>
          <w:shd w:val="clear" w:color="auto" w:fill="FFFFFF"/>
        </w:rPr>
        <w:t>二、按</w:t>
      </w:r>
      <w:r>
        <w:rPr>
          <w:rFonts w:hint="eastAsia" w:ascii="仿宋_GB2312"/>
          <w:szCs w:val="32"/>
        </w:rPr>
        <w:t>要求提</w:t>
      </w:r>
      <w:r>
        <w:rPr>
          <w:rFonts w:hint="eastAsia"/>
        </w:rPr>
        <w:t>升围挡品质的工程，安全文明施工措施费不作调整。</w:t>
      </w:r>
    </w:p>
    <w:p>
      <w:pPr>
        <w:ind w:firstLine="560"/>
      </w:pPr>
      <w:r>
        <w:rPr>
          <w:rFonts w:hint="eastAsia"/>
        </w:rPr>
        <w:t>三、本文之规定自发布之日起执行。在本文执行过程中，如遇上级有新规定，则按上级规定执行。</w:t>
      </w:r>
    </w:p>
    <w:p>
      <w:pPr>
        <w:spacing w:line="220" w:lineRule="exact"/>
        <w:ind w:firstLine="560"/>
        <w:jc w:val="right"/>
        <w:rPr>
          <w:rFonts w:ascii="仿宋_GB2312" w:cs="仿宋_GB2312"/>
          <w:szCs w:val="32"/>
        </w:rPr>
      </w:pPr>
    </w:p>
    <w:p>
      <w:pPr>
        <w:spacing w:line="220" w:lineRule="exact"/>
        <w:ind w:firstLine="560"/>
        <w:jc w:val="right"/>
        <w:rPr>
          <w:rFonts w:ascii="仿宋_GB2312" w:cs="仿宋_GB2312"/>
          <w:szCs w:val="32"/>
        </w:rPr>
      </w:pPr>
    </w:p>
    <w:p>
      <w:pPr>
        <w:spacing w:line="220" w:lineRule="exact"/>
        <w:ind w:firstLine="560"/>
        <w:jc w:val="right"/>
        <w:rPr>
          <w:rFonts w:ascii="仿宋_GB2312" w:cs="仿宋_GB2312"/>
          <w:szCs w:val="32"/>
        </w:rPr>
      </w:pPr>
    </w:p>
    <w:p>
      <w:pPr>
        <w:spacing w:line="220" w:lineRule="exact"/>
        <w:ind w:firstLine="560"/>
        <w:jc w:val="right"/>
        <w:rPr>
          <w:rFonts w:ascii="仿宋_GB2312" w:cs="仿宋_GB2312"/>
          <w:szCs w:val="32"/>
        </w:rPr>
      </w:pPr>
    </w:p>
    <w:p>
      <w:pPr>
        <w:spacing w:line="220" w:lineRule="exact"/>
        <w:ind w:firstLine="560"/>
        <w:jc w:val="right"/>
        <w:rPr>
          <w:rFonts w:ascii="仿宋_GB2312" w:cs="仿宋_GB2312"/>
          <w:szCs w:val="32"/>
        </w:rPr>
      </w:pPr>
    </w:p>
    <w:p>
      <w:pPr>
        <w:tabs>
          <w:tab w:val="left" w:pos="6560"/>
        </w:tabs>
        <w:spacing w:line="600" w:lineRule="exact"/>
        <w:ind w:firstLine="560"/>
        <w:jc w:val="right"/>
      </w:pPr>
      <w:r>
        <w:rPr>
          <w:rFonts w:hint="eastAsia"/>
        </w:rPr>
        <w:t>苏州市住房和城乡建设局</w:t>
      </w:r>
    </w:p>
    <w:p>
      <w:pPr>
        <w:tabs>
          <w:tab w:val="left" w:pos="6560"/>
        </w:tabs>
        <w:spacing w:line="600" w:lineRule="exact"/>
        <w:ind w:right="480" w:firstLine="560"/>
        <w:jc w:val="right"/>
        <w:rPr>
          <w:rFonts w:ascii="仿宋_GB2312"/>
        </w:rPr>
      </w:pPr>
      <w:r>
        <w:rPr>
          <w:rFonts w:hint="eastAsia" w:ascii="仿宋_GB2312"/>
        </w:rPr>
        <w:t>2021年8月9日</w:t>
      </w:r>
    </w:p>
    <w:p>
      <w:pPr>
        <w:ind w:firstLine="560"/>
        <w:rPr>
          <w:rFonts w:ascii="仿宋_GB2312"/>
        </w:rPr>
      </w:pPr>
      <w:r>
        <w:rPr>
          <w:rFonts w:hint="eastAsia" w:ascii="仿宋_GB2312"/>
        </w:rPr>
        <w:t xml:space="preserve">   </w:t>
      </w: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pStyle w:val="2"/>
        <w:numPr>
          <w:ilvl w:val="0"/>
          <w:numId w:val="0"/>
        </w:numPr>
        <w:rPr>
          <w:rFonts w:ascii="仿宋_GB2312"/>
        </w:rPr>
      </w:pPr>
    </w:p>
    <w:p>
      <w:pPr>
        <w:spacing w:line="540" w:lineRule="exact"/>
        <w:ind w:firstLine="560"/>
        <w:rPr>
          <w:rFonts w:ascii="仿宋_GB2312"/>
        </w:rPr>
      </w:pPr>
      <w:r>
        <w:drawing>
          <wp:anchor distT="0" distB="0" distL="114300" distR="114300" simplePos="0" relativeHeight="251688960" behindDoc="1" locked="0" layoutInCell="1" allowOverlap="1">
            <wp:simplePos x="0" y="0"/>
            <wp:positionH relativeFrom="column">
              <wp:posOffset>-971550</wp:posOffset>
            </wp:positionH>
            <wp:positionV relativeFrom="paragraph">
              <wp:posOffset>-2032000</wp:posOffset>
            </wp:positionV>
            <wp:extent cx="7562850" cy="4181475"/>
            <wp:effectExtent l="0" t="0" r="0" b="4445"/>
            <wp:wrapNone/>
            <wp:docPr id="545" name="图片 0" descr="苏州市住房和城乡建设局D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0" descr="苏州市住房和城乡建设局DL.wmf"/>
                    <pic:cNvPicPr>
                      <a:picLocks noChangeAspect="1"/>
                    </pic:cNvPicPr>
                  </pic:nvPicPr>
                  <pic:blipFill>
                    <a:blip r:embed="rId32"/>
                    <a:stretch>
                      <a:fillRect/>
                    </a:stretch>
                  </pic:blipFill>
                  <pic:spPr>
                    <a:xfrm>
                      <a:off x="0" y="0"/>
                      <a:ext cx="7562850" cy="4181475"/>
                    </a:xfrm>
                    <a:prstGeom prst="rect">
                      <a:avLst/>
                    </a:prstGeom>
                    <a:noFill/>
                    <a:ln>
                      <a:noFill/>
                    </a:ln>
                  </pic:spPr>
                </pic:pic>
              </a:graphicData>
            </a:graphic>
          </wp:anchor>
        </w:drawing>
      </w:r>
    </w:p>
    <w:p>
      <w:pPr>
        <w:spacing w:line="540" w:lineRule="exact"/>
        <w:ind w:firstLine="560"/>
        <w:rPr>
          <w:rFonts w:ascii="仿宋_GB2312"/>
        </w:rPr>
      </w:pPr>
    </w:p>
    <w:p>
      <w:pPr>
        <w:spacing w:line="540" w:lineRule="exact"/>
        <w:ind w:firstLine="560"/>
        <w:rPr>
          <w:rFonts w:ascii="仿宋_GB2312"/>
        </w:rPr>
      </w:pPr>
    </w:p>
    <w:p>
      <w:pPr>
        <w:spacing w:line="540" w:lineRule="exact"/>
        <w:ind w:firstLine="560"/>
        <w:rPr>
          <w:rFonts w:ascii="仿宋_GB2312"/>
        </w:rPr>
      </w:pPr>
    </w:p>
    <w:p>
      <w:pPr>
        <w:pStyle w:val="4"/>
      </w:pPr>
      <w:bookmarkStart w:id="1536" w:name="_Toc6962"/>
      <w:bookmarkStart w:id="1537" w:name="_Toc13548"/>
      <w:bookmarkStart w:id="1538" w:name="_Toc23660"/>
      <w:bookmarkStart w:id="1539" w:name="_Toc16259"/>
      <w:bookmarkStart w:id="1540" w:name="_Toc25338"/>
      <w:bookmarkStart w:id="1541" w:name="_Toc21290"/>
      <w:bookmarkStart w:id="1542" w:name="_Toc15251"/>
      <w:r>
        <w:rPr>
          <w:rFonts w:hint="eastAsia"/>
        </w:rPr>
        <w:t>苏住建建〔2021〕59号</w:t>
      </w:r>
      <w:bookmarkEnd w:id="1536"/>
      <w:bookmarkEnd w:id="1537"/>
      <w:bookmarkEnd w:id="1538"/>
      <w:bookmarkEnd w:id="1539"/>
      <w:bookmarkEnd w:id="1540"/>
      <w:bookmarkEnd w:id="1541"/>
      <w:bookmarkEnd w:id="1542"/>
    </w:p>
    <w:p>
      <w:pPr>
        <w:spacing w:line="480" w:lineRule="exact"/>
        <w:ind w:firstLine="478"/>
        <w:rPr>
          <w:rFonts w:eastAsia="楷体_GB2312"/>
          <w:w w:val="80"/>
          <w:sz w:val="30"/>
        </w:rPr>
      </w:pPr>
    </w:p>
    <w:p>
      <w:pPr>
        <w:spacing w:line="600" w:lineRule="exact"/>
        <w:ind w:left="880" w:hanging="880" w:hangingChars="200"/>
        <w:rPr>
          <w:rFonts w:ascii="方正小标宋_GBK" w:hAnsi="宋体" w:eastAsia="方正小标宋_GBK"/>
          <w:sz w:val="44"/>
          <w:szCs w:val="44"/>
        </w:rPr>
      </w:pPr>
      <w:r>
        <w:rPr>
          <w:rFonts w:hint="eastAsia" w:ascii="方正小标宋_GBK" w:hAnsi="宋体" w:eastAsia="方正小标宋_GBK"/>
          <w:sz w:val="44"/>
          <w:szCs w:val="44"/>
        </w:rPr>
        <w:t xml:space="preserve">      </w:t>
      </w:r>
    </w:p>
    <w:p>
      <w:pPr>
        <w:pStyle w:val="3"/>
      </w:pPr>
      <w:bookmarkStart w:id="1543" w:name="_Toc20333"/>
      <w:bookmarkStart w:id="1544" w:name="_Toc17032"/>
      <w:bookmarkStart w:id="1545" w:name="_Toc6068"/>
      <w:bookmarkStart w:id="1546" w:name="_Toc6986"/>
      <w:bookmarkStart w:id="1547" w:name="_Toc29364"/>
      <w:bookmarkStart w:id="1548" w:name="_Toc30258"/>
      <w:bookmarkStart w:id="1549" w:name="_Toc21214"/>
      <w:bookmarkStart w:id="1550" w:name="_Toc1217"/>
      <w:bookmarkStart w:id="1551" w:name="_Toc11570"/>
      <w:bookmarkStart w:id="1552" w:name="_Toc1381"/>
      <w:bookmarkStart w:id="1553" w:name="_Toc5882"/>
      <w:bookmarkStart w:id="1554" w:name="_Toc31158"/>
      <w:bookmarkStart w:id="1555" w:name="_Toc5611"/>
      <w:bookmarkStart w:id="1556" w:name="_Toc10422"/>
      <w:r>
        <w:rPr>
          <w:rFonts w:hint="eastAsia"/>
        </w:rPr>
        <w:t>市住房城乡建设局关于明确建设工程</w:t>
      </w:r>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p>
    <w:p>
      <w:pPr>
        <w:pStyle w:val="3"/>
      </w:pPr>
      <w:bookmarkStart w:id="1557" w:name="_Toc30596"/>
      <w:bookmarkStart w:id="1558" w:name="_Toc4344"/>
      <w:bookmarkStart w:id="1559" w:name="_Toc31314"/>
      <w:bookmarkStart w:id="1560" w:name="_Toc20315"/>
      <w:bookmarkStart w:id="1561" w:name="_Toc23628"/>
      <w:bookmarkStart w:id="1562" w:name="_Toc5214"/>
      <w:bookmarkStart w:id="1563" w:name="_Toc14431"/>
      <w:bookmarkStart w:id="1564" w:name="_Toc17922"/>
      <w:bookmarkStart w:id="1565" w:name="_Toc30817"/>
      <w:bookmarkStart w:id="1566" w:name="_Toc9558"/>
      <w:bookmarkStart w:id="1567" w:name="_Toc218"/>
      <w:bookmarkStart w:id="1568" w:name="_Toc16127"/>
      <w:bookmarkStart w:id="1569" w:name="_Toc25368"/>
      <w:bookmarkStart w:id="1570" w:name="_Toc15156"/>
      <w:r>
        <w:rPr>
          <w:rFonts w:hint="eastAsia"/>
        </w:rPr>
        <w:t>总承包服务费等费用计取要求的通知</w:t>
      </w:r>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p>
    <w:p>
      <w:pPr>
        <w:spacing w:line="540" w:lineRule="exact"/>
        <w:ind w:firstLine="560"/>
        <w:rPr>
          <w:rFonts w:ascii="仿宋_GB2312" w:hAnsi="仿宋"/>
          <w:szCs w:val="32"/>
        </w:rPr>
      </w:pPr>
      <w:r>
        <w:rPr>
          <w:rFonts w:ascii="仿宋_GB2312" w:hAnsi="仿宋"/>
        </w:rPr>
        <w:t xml:space="preserve"> </w:t>
      </w:r>
    </w:p>
    <w:p>
      <w:pPr>
        <w:ind w:firstLine="0" w:firstLineChars="0"/>
      </w:pPr>
      <w:r>
        <w:t>各市、区住建局（委），苏州工业园区规建委，市各有关部门</w:t>
      </w:r>
      <w:r>
        <w:rPr>
          <w:rFonts w:hint="eastAsia"/>
        </w:rPr>
        <w:t>：</w:t>
      </w:r>
    </w:p>
    <w:p>
      <w:pPr>
        <w:ind w:firstLine="560"/>
      </w:pPr>
      <w:r>
        <w:t>为维护建设工程参建各方的合法权益，规范计价行为，统一计价口径，现就我市建设工程总承包服务费</w:t>
      </w:r>
      <w:r>
        <w:rPr>
          <w:rFonts w:hint="eastAsia"/>
        </w:rPr>
        <w:t>等费用计取相关要求</w:t>
      </w:r>
      <w:r>
        <w:t>明确如下</w:t>
      </w:r>
      <w:r>
        <w:rPr>
          <w:rFonts w:hint="eastAsia"/>
        </w:rPr>
        <w:t>：</w:t>
      </w:r>
    </w:p>
    <w:p>
      <w:pPr>
        <w:ind w:firstLine="560"/>
      </w:pPr>
      <w:r>
        <w:t>一、关于总承包服务费计</w:t>
      </w:r>
      <w:r>
        <w:rPr>
          <w:rFonts w:hint="eastAsia"/>
        </w:rPr>
        <w:t>取</w:t>
      </w:r>
    </w:p>
    <w:p>
      <w:pPr>
        <w:ind w:firstLine="560"/>
      </w:pPr>
      <w:r>
        <w:t>1.总承包服务费是指总承包单位对建设单位发包的专业工程或以暂估价形式计列且依法必须招标的专业工程，进行总承包管理和协调、提供配合服务工作等所需的费用</w:t>
      </w:r>
      <w:r>
        <w:rPr>
          <w:rFonts w:hint="eastAsia"/>
        </w:rPr>
        <w:t>。</w:t>
      </w:r>
    </w:p>
    <w:p>
      <w:pPr>
        <w:ind w:firstLine="560"/>
      </w:pPr>
      <w:r>
        <w:t>2.总承包招标文件中应列出具体的总承包服务工作内容（参见附表），在其他项目清单中计列总承包服务费。招标控制价编制时，总承包服务费以专业工程估算造价为基数，按附表中的费率计算；结算时按总承包单位投标时所报费率以专业工程结算造价为基数进行调整</w:t>
      </w:r>
      <w:r>
        <w:rPr>
          <w:rFonts w:hint="eastAsia"/>
        </w:rPr>
        <w:t>。</w:t>
      </w:r>
    </w:p>
    <w:p>
      <w:pPr>
        <w:ind w:firstLine="560"/>
      </w:pPr>
      <w:r>
        <w:t>3.总承包招标时未计取暂估价专业工程总承包服务费的，应在暂估价专业工程招标时计入专业工程招标控制价</w:t>
      </w:r>
      <w:r>
        <w:rPr>
          <w:rFonts w:hint="eastAsia"/>
        </w:rPr>
        <w:t>和投标报价</w:t>
      </w:r>
      <w:r>
        <w:t>，由专业工程分包单位支付给总承包单位</w:t>
      </w:r>
      <w:r>
        <w:rPr>
          <w:rFonts w:hint="eastAsia"/>
        </w:rPr>
        <w:t>。</w:t>
      </w:r>
    </w:p>
    <w:p>
      <w:pPr>
        <w:ind w:firstLine="560"/>
      </w:pPr>
      <w:r>
        <w:t>4.计取总承包服务费后，总承包单位应为专业工程施工单位提供的总承包服务工作详见附表。除专业工程施工单位将应由其实施的现场临时办公用房和工人宿舍、管（线）槽和预留孔洞的修补封堵、建筑垃圾外运等工作交总承包单位实施，费用另行协商支付外，总承包单位不得再向专业工程施工单位收取其他费用</w:t>
      </w:r>
      <w:r>
        <w:rPr>
          <w:rFonts w:hint="eastAsia"/>
        </w:rPr>
        <w:t>。</w:t>
      </w:r>
    </w:p>
    <w:p>
      <w:pPr>
        <w:ind w:firstLine="560"/>
      </w:pPr>
      <w:r>
        <w:t>二、关于总承包项目中装饰工程取</w:t>
      </w:r>
      <w:r>
        <w:rPr>
          <w:rFonts w:hint="eastAsia"/>
        </w:rPr>
        <w:t>费</w:t>
      </w:r>
    </w:p>
    <w:p>
      <w:pPr>
        <w:ind w:firstLine="560"/>
      </w:pPr>
      <w:r>
        <w:t>总承包项目中的装饰工程，应建设单位要求单独设计的，按“单独装饰工程”取费</w:t>
      </w:r>
      <w:r>
        <w:rPr>
          <w:rFonts w:hint="eastAsia"/>
        </w:rPr>
        <w:t>。</w:t>
      </w:r>
    </w:p>
    <w:p>
      <w:pPr>
        <w:ind w:firstLine="560"/>
      </w:pPr>
      <w:r>
        <w:t>三、关于总承包项目有关措施费用计</w:t>
      </w:r>
      <w:r>
        <w:rPr>
          <w:rFonts w:hint="eastAsia"/>
        </w:rPr>
        <w:t>取</w:t>
      </w:r>
    </w:p>
    <w:p>
      <w:pPr>
        <w:ind w:firstLine="560"/>
      </w:pPr>
      <w:r>
        <w:t>总承包项目中含依法必须招标的内装工程暂估价的，土建、内装工程的脚手架、垂直运输、超高施工增加等措施费用，在总承包招标和暂估价内装工程招标时，分别在各自工程量清单中列项、计价</w:t>
      </w:r>
      <w:r>
        <w:rPr>
          <w:rFonts w:hint="eastAsia"/>
        </w:rPr>
        <w:t>。</w:t>
      </w:r>
    </w:p>
    <w:p>
      <w:pPr>
        <w:ind w:firstLine="560"/>
      </w:pPr>
      <w:r>
        <w:t>自</w:t>
      </w:r>
      <w:r>
        <w:rPr>
          <w:rFonts w:hint="eastAsia"/>
        </w:rPr>
        <w:t>发文之日起</w:t>
      </w:r>
      <w:r>
        <w:t>发布招标文件的</w:t>
      </w:r>
      <w:r>
        <w:rPr>
          <w:rFonts w:hint="eastAsia"/>
        </w:rPr>
        <w:t>工程</w:t>
      </w:r>
      <w:r>
        <w:t>按本通知执行</w:t>
      </w:r>
      <w:r>
        <w:rPr>
          <w:rFonts w:hint="eastAsia"/>
        </w:rPr>
        <w:t>。相关</w:t>
      </w:r>
      <w:r>
        <w:t>规定与本</w:t>
      </w:r>
      <w:r>
        <w:rPr>
          <w:rFonts w:hint="eastAsia"/>
        </w:rPr>
        <w:t>通知</w:t>
      </w:r>
      <w:r>
        <w:t>不一致的，以本</w:t>
      </w:r>
      <w:r>
        <w:rPr>
          <w:rFonts w:hint="eastAsia"/>
        </w:rPr>
        <w:t>通知</w:t>
      </w:r>
      <w:r>
        <w:t>为准</w:t>
      </w:r>
      <w:r>
        <w:rPr>
          <w:rFonts w:hint="eastAsia"/>
        </w:rPr>
        <w:t>。</w:t>
      </w:r>
      <w:r>
        <w:t>非依法必须招标的工程可参照执行。</w:t>
      </w:r>
    </w:p>
    <w:p>
      <w:pPr>
        <w:ind w:firstLine="560"/>
      </w:pPr>
      <w:r>
        <w:t xml:space="preserve">           </w:t>
      </w:r>
    </w:p>
    <w:p>
      <w:pPr>
        <w:ind w:firstLine="4200" w:firstLineChars="1500"/>
      </w:pPr>
      <w:r>
        <w:rPr>
          <w:rFonts w:hint="eastAsia"/>
        </w:rPr>
        <w:t>苏州市住房和城乡建设局</w:t>
      </w:r>
    </w:p>
    <w:p>
      <w:pPr>
        <w:ind w:firstLine="4928" w:firstLineChars="1760"/>
      </w:pPr>
      <w:r>
        <w:rPr>
          <w:rFonts w:hint="eastAsia"/>
        </w:rPr>
        <w:t>2021年11月18日</w:t>
      </w:r>
    </w:p>
    <w:p>
      <w:pPr>
        <w:ind w:firstLine="560"/>
        <w:rPr>
          <w:rFonts w:ascii="仿宋_GB2312" w:hAnsi="仿宋_GB2312"/>
          <w:szCs w:val="32"/>
        </w:rPr>
      </w:pPr>
    </w:p>
    <w:p>
      <w:pPr>
        <w:pStyle w:val="2"/>
        <w:numPr>
          <w:ilvl w:val="0"/>
          <w:numId w:val="0"/>
        </w:numPr>
        <w:rPr>
          <w:rFonts w:ascii="仿宋_GB2312" w:hAnsi="仿宋_GB2312"/>
          <w:szCs w:val="32"/>
        </w:rPr>
      </w:pPr>
    </w:p>
    <w:p>
      <w:pPr>
        <w:pStyle w:val="2"/>
        <w:numPr>
          <w:ilvl w:val="0"/>
          <w:numId w:val="0"/>
        </w:numPr>
        <w:rPr>
          <w:rFonts w:ascii="仿宋_GB2312" w:hAnsi="仿宋_GB2312"/>
          <w:szCs w:val="32"/>
        </w:rPr>
      </w:pPr>
    </w:p>
    <w:p>
      <w:pPr>
        <w:pStyle w:val="2"/>
        <w:numPr>
          <w:ilvl w:val="0"/>
          <w:numId w:val="0"/>
        </w:numPr>
        <w:rPr>
          <w:rFonts w:ascii="仿宋_GB2312" w:hAnsi="仿宋_GB2312"/>
          <w:szCs w:val="32"/>
        </w:rPr>
      </w:pPr>
    </w:p>
    <w:p>
      <w:pPr>
        <w:pStyle w:val="2"/>
        <w:numPr>
          <w:ilvl w:val="0"/>
          <w:numId w:val="0"/>
        </w:numPr>
        <w:rPr>
          <w:rFonts w:ascii="仿宋_GB2312" w:hAnsi="仿宋_GB2312"/>
          <w:szCs w:val="32"/>
        </w:rPr>
      </w:pPr>
    </w:p>
    <w:p>
      <w:pPr>
        <w:pStyle w:val="2"/>
        <w:numPr>
          <w:ilvl w:val="0"/>
          <w:numId w:val="0"/>
        </w:numPr>
        <w:rPr>
          <w:rFonts w:ascii="仿宋_GB2312" w:hAnsi="仿宋_GB2312"/>
          <w:szCs w:val="32"/>
        </w:rPr>
      </w:pPr>
    </w:p>
    <w:p>
      <w:pPr>
        <w:ind w:firstLine="0" w:firstLineChars="0"/>
        <w:rPr>
          <w:rFonts w:ascii="仿宋_GB2312"/>
          <w:szCs w:val="32"/>
        </w:rPr>
      </w:pPr>
      <w:r>
        <w:rPr>
          <w:rFonts w:ascii="仿宋_GB2312" w:hAnsi="仿宋_GB2312"/>
          <w:szCs w:val="32"/>
        </w:rPr>
        <w:t>附表：</w:t>
      </w:r>
      <w:r>
        <w:rPr>
          <w:rFonts w:ascii="仿宋_GB2312"/>
          <w:szCs w:val="32"/>
        </w:rPr>
        <w:t xml:space="preserve">   </w:t>
      </w:r>
    </w:p>
    <w:tbl>
      <w:tblPr>
        <w:tblStyle w:val="22"/>
        <w:tblW w:w="9180" w:type="dxa"/>
        <w:tblInd w:w="93" w:type="dxa"/>
        <w:tblLayout w:type="autofit"/>
        <w:tblCellMar>
          <w:top w:w="0" w:type="dxa"/>
          <w:left w:w="0" w:type="dxa"/>
          <w:bottom w:w="0" w:type="dxa"/>
          <w:right w:w="0" w:type="dxa"/>
        </w:tblCellMar>
      </w:tblPr>
      <w:tblGrid>
        <w:gridCol w:w="512"/>
        <w:gridCol w:w="1351"/>
        <w:gridCol w:w="5996"/>
        <w:gridCol w:w="1321"/>
      </w:tblGrid>
      <w:tr>
        <w:trPr>
          <w:trHeight w:val="1140" w:hRule="atLeast"/>
        </w:trPr>
        <w:tc>
          <w:tcPr>
            <w:tcW w:w="9180" w:type="dxa"/>
            <w:gridSpan w:val="4"/>
            <w:tcBorders>
              <w:top w:val="nil"/>
              <w:left w:val="nil"/>
              <w:bottom w:val="nil"/>
              <w:right w:val="nil"/>
            </w:tcBorders>
            <w:tcMar>
              <w:top w:w="15" w:type="dxa"/>
              <w:left w:w="15" w:type="dxa"/>
              <w:bottom w:w="0" w:type="dxa"/>
              <w:right w:w="15" w:type="dxa"/>
            </w:tcMar>
            <w:vAlign w:val="center"/>
          </w:tcPr>
          <w:p>
            <w:pPr>
              <w:widowControl/>
              <w:spacing w:before="240" w:beforeLines="100"/>
              <w:ind w:firstLine="0" w:firstLineChars="0"/>
              <w:jc w:val="center"/>
              <w:textAlignment w:val="center"/>
              <w:rPr>
                <w:rFonts w:ascii="方正小标宋简体" w:hAnsi="宋体" w:eastAsia="方正小标宋简体"/>
                <w:color w:val="000000"/>
                <w:kern w:val="0"/>
                <w:sz w:val="44"/>
                <w:szCs w:val="44"/>
              </w:rPr>
            </w:pPr>
            <w:r>
              <w:rPr>
                <w:rFonts w:hint="eastAsia" w:ascii="方正小标宋简体" w:hAnsi="宋体" w:eastAsia="方正小标宋简体"/>
                <w:color w:val="000000"/>
                <w:kern w:val="0"/>
                <w:sz w:val="44"/>
                <w:szCs w:val="44"/>
              </w:rPr>
              <w:t>总承包单位应为专业工程施工单位提供的</w:t>
            </w:r>
          </w:p>
          <w:p>
            <w:pPr>
              <w:widowControl/>
              <w:spacing w:after="240" w:afterLines="100"/>
              <w:ind w:firstLine="0" w:firstLineChars="0"/>
              <w:jc w:val="center"/>
              <w:textAlignment w:val="center"/>
              <w:rPr>
                <w:rFonts w:ascii="方正小标宋简体" w:hAnsi="宋体" w:eastAsia="方正小标宋简体"/>
                <w:color w:val="000000"/>
                <w:sz w:val="44"/>
                <w:szCs w:val="44"/>
              </w:rPr>
            </w:pPr>
            <w:r>
              <w:rPr>
                <w:rFonts w:hint="eastAsia" w:ascii="方正小标宋简体" w:hAnsi="宋体" w:eastAsia="方正小标宋简体"/>
                <w:color w:val="000000"/>
                <w:kern w:val="0"/>
                <w:sz w:val="44"/>
                <w:szCs w:val="44"/>
              </w:rPr>
              <w:t>总承包服务工作及招标控制价计取费率表</w:t>
            </w:r>
          </w:p>
        </w:tc>
      </w:tr>
      <w:tr>
        <w:tblPrEx>
          <w:tblCellMar>
            <w:top w:w="0" w:type="dxa"/>
            <w:left w:w="0" w:type="dxa"/>
            <w:bottom w:w="0" w:type="dxa"/>
            <w:right w:w="0" w:type="dxa"/>
          </w:tblCellMar>
        </w:tblPrEx>
        <w:trPr>
          <w:trHeight w:val="855" w:hRule="atLeast"/>
        </w:trPr>
        <w:tc>
          <w:tcPr>
            <w:tcW w:w="0" w:type="auto"/>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ind w:firstLine="0" w:firstLineChars="0"/>
              <w:jc w:val="left"/>
              <w:textAlignment w:val="center"/>
              <w:rPr>
                <w:rFonts w:ascii="宋体" w:hAnsi="宋体" w:eastAsia="宋体"/>
                <w:b/>
                <w:color w:val="000000"/>
                <w:sz w:val="24"/>
                <w:szCs w:val="24"/>
              </w:rPr>
            </w:pPr>
            <w:r>
              <w:rPr>
                <w:rFonts w:hint="eastAsia" w:ascii="宋体" w:hAnsi="宋体" w:eastAsia="宋体"/>
                <w:b/>
                <w:color w:val="000000"/>
                <w:kern w:val="0"/>
                <w:sz w:val="24"/>
                <w:szCs w:val="24"/>
              </w:rPr>
              <w:t>序号</w:t>
            </w:r>
          </w:p>
        </w:tc>
        <w:tc>
          <w:tcPr>
            <w:tcW w:w="1350"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eastAsia="宋体"/>
                <w:b/>
                <w:color w:val="000000"/>
                <w:sz w:val="24"/>
                <w:szCs w:val="24"/>
              </w:rPr>
            </w:pPr>
            <w:r>
              <w:rPr>
                <w:rFonts w:hint="eastAsia" w:ascii="宋体" w:hAnsi="宋体" w:eastAsia="宋体"/>
                <w:b/>
                <w:color w:val="000000"/>
                <w:kern w:val="0"/>
                <w:sz w:val="24"/>
                <w:szCs w:val="24"/>
              </w:rPr>
              <w:t>总承包服务工作类别</w:t>
            </w: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eastAsia="宋体"/>
                <w:b/>
                <w:color w:val="000000"/>
                <w:sz w:val="24"/>
                <w:szCs w:val="24"/>
              </w:rPr>
            </w:pPr>
            <w:r>
              <w:rPr>
                <w:rFonts w:hint="eastAsia" w:ascii="宋体" w:hAnsi="宋体" w:eastAsia="宋体"/>
                <w:b/>
                <w:color w:val="000000"/>
                <w:kern w:val="0"/>
                <w:sz w:val="24"/>
                <w:szCs w:val="24"/>
              </w:rPr>
              <w:t>总承包服务工作内容</w:t>
            </w:r>
          </w:p>
        </w:tc>
        <w:tc>
          <w:tcPr>
            <w:tcW w:w="1320"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eastAsia="宋体"/>
                <w:b/>
                <w:color w:val="000000"/>
                <w:sz w:val="24"/>
                <w:szCs w:val="24"/>
              </w:rPr>
            </w:pPr>
            <w:r>
              <w:rPr>
                <w:rFonts w:hint="eastAsia" w:ascii="宋体" w:hAnsi="宋体" w:eastAsia="宋体"/>
                <w:b/>
                <w:color w:val="000000"/>
                <w:kern w:val="0"/>
                <w:sz w:val="24"/>
                <w:szCs w:val="24"/>
              </w:rPr>
              <w:t>招标控制价计取费率</w:t>
            </w:r>
          </w:p>
        </w:tc>
      </w:tr>
      <w:tr>
        <w:trPr>
          <w:trHeight w:val="780" w:hRule="atLeast"/>
        </w:trPr>
        <w:tc>
          <w:tcPr>
            <w:tcW w:w="0" w:type="auto"/>
            <w:vMerge w:val="restart"/>
            <w:tcBorders>
              <w:top w:val="nil"/>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ind w:firstLine="0" w:firstLineChars="0"/>
              <w:jc w:val="center"/>
              <w:textAlignment w:val="center"/>
              <w:rPr>
                <w:rFonts w:ascii="宋体" w:hAnsi="宋体"/>
                <w:color w:val="000000"/>
                <w:sz w:val="24"/>
                <w:szCs w:val="24"/>
              </w:rPr>
            </w:pPr>
            <w:r>
              <w:rPr>
                <w:rFonts w:hint="eastAsia" w:ascii="宋体" w:hAnsi="宋体"/>
                <w:color w:val="000000"/>
                <w:kern w:val="0"/>
                <w:sz w:val="24"/>
                <w:szCs w:val="24"/>
              </w:rPr>
              <w:t>一</w:t>
            </w:r>
          </w:p>
        </w:tc>
        <w:tc>
          <w:tcPr>
            <w:tcW w:w="1350" w:type="dxa"/>
            <w:vMerge w:val="restart"/>
            <w:tcBorders>
              <w:top w:val="nil"/>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color w:val="000000"/>
                <w:sz w:val="24"/>
                <w:szCs w:val="24"/>
              </w:rPr>
            </w:pPr>
            <w:r>
              <w:rPr>
                <w:rFonts w:hint="eastAsia" w:ascii="宋体" w:hAnsi="宋体"/>
                <w:color w:val="000000"/>
                <w:kern w:val="0"/>
                <w:sz w:val="24"/>
                <w:szCs w:val="24"/>
              </w:rPr>
              <w:t>管理和协调工作</w:t>
            </w: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480" w:lineRule="exact"/>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负责现场临时设施（包括专业分包单位的临时设施）的整体布局与规划。</w:t>
            </w:r>
          </w:p>
        </w:tc>
        <w:tc>
          <w:tcPr>
            <w:tcW w:w="1320" w:type="dxa"/>
            <w:vMerge w:val="restart"/>
            <w:tcBorders>
              <w:top w:val="nil"/>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color w:val="000000"/>
                <w:sz w:val="24"/>
                <w:szCs w:val="24"/>
              </w:rPr>
            </w:pPr>
            <w:r>
              <w:rPr>
                <w:rFonts w:hint="eastAsia" w:ascii="宋体" w:hAnsi="宋体"/>
                <w:color w:val="000000"/>
                <w:kern w:val="0"/>
                <w:sz w:val="24"/>
                <w:szCs w:val="24"/>
              </w:rPr>
              <w:t>1%</w:t>
            </w:r>
          </w:p>
        </w:tc>
      </w:tr>
      <w:tr>
        <w:tblPrEx>
          <w:tblCellMar>
            <w:top w:w="0" w:type="dxa"/>
            <w:left w:w="0" w:type="dxa"/>
            <w:bottom w:w="0" w:type="dxa"/>
            <w:right w:w="0" w:type="dxa"/>
          </w:tblCellMar>
        </w:tblPrEx>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480" w:lineRule="exact"/>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对工地作全面的保卫与看管。</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480" w:lineRule="exact"/>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负责工程的整体进度、质量等管理和协调。</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汇总整理专业分包单位的竣工资料。</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建设单位明确需总承包单位管理和协调的其他内容。</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70" w:hRule="atLeast"/>
        </w:trPr>
        <w:tc>
          <w:tcPr>
            <w:tcW w:w="0" w:type="auto"/>
            <w:vMerge w:val="restart"/>
            <w:tcBorders>
              <w:top w:val="nil"/>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widowControl/>
              <w:ind w:firstLine="0" w:firstLineChars="0"/>
              <w:jc w:val="center"/>
              <w:textAlignment w:val="center"/>
              <w:rPr>
                <w:rFonts w:ascii="宋体" w:hAnsi="宋体"/>
                <w:color w:val="000000"/>
                <w:sz w:val="24"/>
                <w:szCs w:val="24"/>
              </w:rPr>
            </w:pPr>
            <w:r>
              <w:rPr>
                <w:rFonts w:hint="eastAsia" w:ascii="宋体" w:hAnsi="宋体"/>
                <w:color w:val="000000"/>
                <w:kern w:val="0"/>
                <w:sz w:val="24"/>
                <w:szCs w:val="24"/>
              </w:rPr>
              <w:t>二</w:t>
            </w:r>
          </w:p>
        </w:tc>
        <w:tc>
          <w:tcPr>
            <w:tcW w:w="1350" w:type="dxa"/>
            <w:vMerge w:val="restart"/>
            <w:tcBorders>
              <w:top w:val="nil"/>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color w:val="000000"/>
                <w:sz w:val="24"/>
                <w:szCs w:val="24"/>
              </w:rPr>
            </w:pPr>
            <w:r>
              <w:rPr>
                <w:rFonts w:hint="eastAsia" w:ascii="宋体" w:hAnsi="宋体"/>
                <w:color w:val="000000"/>
                <w:kern w:val="0"/>
                <w:sz w:val="24"/>
                <w:szCs w:val="24"/>
              </w:rPr>
              <w:t>配合服务  工作</w:t>
            </w: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提供现场已有垂直运输机械（如塔吊、施工电梯、井架）。</w:t>
            </w:r>
          </w:p>
        </w:tc>
        <w:tc>
          <w:tcPr>
            <w:tcW w:w="1320" w:type="dxa"/>
            <w:vMerge w:val="restart"/>
            <w:tcBorders>
              <w:top w:val="nil"/>
              <w:left w:val="nil"/>
              <w:bottom w:val="single" w:color="000000" w:sz="4" w:space="0"/>
              <w:right w:val="single" w:color="000000" w:sz="4" w:space="0"/>
            </w:tcBorders>
            <w:tcMar>
              <w:top w:w="15" w:type="dxa"/>
              <w:left w:w="15" w:type="dxa"/>
              <w:bottom w:w="0" w:type="dxa"/>
              <w:right w:w="15" w:type="dxa"/>
            </w:tcMar>
            <w:vAlign w:val="center"/>
          </w:tcPr>
          <w:p>
            <w:pPr>
              <w:widowControl/>
              <w:ind w:firstLine="0" w:firstLineChars="0"/>
              <w:jc w:val="center"/>
              <w:textAlignment w:val="center"/>
              <w:rPr>
                <w:rFonts w:ascii="宋体" w:hAnsi="宋体"/>
                <w:color w:val="000000"/>
                <w:sz w:val="24"/>
                <w:szCs w:val="24"/>
              </w:rPr>
            </w:pPr>
            <w:r>
              <w:rPr>
                <w:rFonts w:hint="eastAsia" w:ascii="宋体" w:hAnsi="宋体"/>
                <w:color w:val="000000"/>
                <w:kern w:val="0"/>
                <w:sz w:val="24"/>
                <w:szCs w:val="24"/>
              </w:rPr>
              <w:t>2%～4%</w:t>
            </w:r>
          </w:p>
        </w:tc>
      </w:tr>
      <w:tr>
        <w:tblPrEx>
          <w:tblCellMar>
            <w:top w:w="0" w:type="dxa"/>
            <w:left w:w="0" w:type="dxa"/>
            <w:bottom w:w="0" w:type="dxa"/>
            <w:right w:w="0" w:type="dxa"/>
          </w:tblCellMar>
        </w:tblPrEx>
        <w:trPr>
          <w:trHeight w:val="72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提供现场已有临时道路、场地、卫生间、门卫、喷淋、实名制系统、安监监控等。</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提供现场已有内、外脚手架的使用。</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提供施工及生活用水、电接口。</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5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ind w:left="120" w:leftChars="43" w:right="126" w:rightChars="45" w:firstLine="0" w:firstLineChars="0"/>
              <w:textAlignment w:val="center"/>
              <w:rPr>
                <w:rFonts w:ascii="宋体" w:hAnsi="宋体"/>
                <w:color w:val="000000"/>
                <w:sz w:val="24"/>
                <w:szCs w:val="24"/>
              </w:rPr>
            </w:pPr>
            <w:r>
              <w:rPr>
                <w:rFonts w:hint="eastAsia" w:ascii="宋体" w:hAnsi="宋体"/>
                <w:color w:val="000000"/>
                <w:kern w:val="0"/>
                <w:sz w:val="24"/>
                <w:szCs w:val="24"/>
              </w:rPr>
              <w:t>负责及时向专业分包单位提供标高、定位点线等。</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126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320" w:lineRule="exact"/>
              <w:ind w:left="120" w:leftChars="43" w:right="126" w:rightChars="45" w:firstLine="0" w:firstLineChars="0"/>
              <w:textAlignment w:val="center"/>
              <w:rPr>
                <w:rFonts w:ascii="宋体" w:hAnsi="宋体"/>
                <w:color w:val="000000"/>
                <w:sz w:val="24"/>
                <w:szCs w:val="24"/>
              </w:rPr>
            </w:pPr>
            <w:r>
              <w:rPr>
                <w:rFonts w:hint="eastAsia" w:ascii="宋体" w:hAnsi="宋体"/>
                <w:color w:val="000000"/>
                <w:sz w:val="24"/>
                <w:szCs w:val="24"/>
              </w:rPr>
              <w:t>浇筑混凝土前，主动与专业分包单位确定构配件、套筒、套管、管（线）槽、孔洞、榫眼等的预埋、预留位置，并给予专业分包单位足够的时间做好相关预埋、预留工作。</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r>
        <w:trPr>
          <w:trHeight w:val="600" w:hRule="atLeast"/>
        </w:trPr>
        <w:tc>
          <w:tcPr>
            <w:tcW w:w="0" w:type="auto"/>
            <w:vMerge w:val="continue"/>
            <w:tcBorders>
              <w:top w:val="nil"/>
              <w:left w:val="single" w:color="000000" w:sz="4" w:space="0"/>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c>
          <w:tcPr>
            <w:tcW w:w="599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pPr>
              <w:widowControl/>
              <w:ind w:left="120" w:leftChars="43" w:right="126" w:rightChars="45" w:firstLine="0" w:firstLineChars="0"/>
              <w:jc w:val="left"/>
              <w:textAlignment w:val="center"/>
              <w:rPr>
                <w:rFonts w:ascii="宋体" w:hAnsi="宋体"/>
                <w:color w:val="000000"/>
                <w:sz w:val="24"/>
                <w:szCs w:val="24"/>
              </w:rPr>
            </w:pPr>
            <w:r>
              <w:rPr>
                <w:rFonts w:hint="eastAsia" w:ascii="宋体" w:hAnsi="宋体"/>
                <w:color w:val="000000"/>
                <w:kern w:val="0"/>
                <w:sz w:val="24"/>
                <w:szCs w:val="24"/>
              </w:rPr>
              <w:t>建设单位明确需总承包单位配合服务的其他内容。</w:t>
            </w:r>
          </w:p>
        </w:tc>
        <w:tc>
          <w:tcPr>
            <w:tcW w:w="0" w:type="auto"/>
            <w:vMerge w:val="continue"/>
            <w:tcBorders>
              <w:top w:val="nil"/>
              <w:left w:val="nil"/>
              <w:bottom w:val="single" w:color="000000" w:sz="4" w:space="0"/>
              <w:right w:val="single" w:color="000000" w:sz="4" w:space="0"/>
            </w:tcBorders>
            <w:vAlign w:val="center"/>
          </w:tcPr>
          <w:p>
            <w:pPr>
              <w:widowControl/>
              <w:ind w:firstLine="0" w:firstLineChars="0"/>
              <w:jc w:val="left"/>
              <w:rPr>
                <w:rFonts w:ascii="宋体" w:hAnsi="宋体"/>
                <w:color w:val="000000"/>
                <w:sz w:val="24"/>
                <w:szCs w:val="24"/>
              </w:rPr>
            </w:pPr>
          </w:p>
        </w:tc>
      </w:tr>
    </w:tbl>
    <w:p>
      <w:pPr>
        <w:ind w:firstLine="480"/>
      </w:pPr>
      <w:r>
        <w:rPr>
          <w:rFonts w:hint="eastAsia" w:ascii="宋体" w:hAnsi="宋体"/>
          <w:sz w:val="24"/>
          <w:szCs w:val="24"/>
        </w:rPr>
        <w:t xml:space="preserve"> </w:t>
      </w:r>
    </w:p>
    <w:p>
      <w:pPr>
        <w:ind w:firstLine="560"/>
        <w:rPr>
          <w:rFonts w:ascii="仿宋_GB2312"/>
        </w:rPr>
      </w:pPr>
      <w:r>
        <w:rPr>
          <w:rFonts w:hint="eastAsia" w:ascii="仿宋_GB2312"/>
        </w:rPr>
        <w:br w:type="page"/>
      </w:r>
    </w:p>
    <w:p>
      <w:pPr>
        <w:tabs>
          <w:tab w:val="left" w:pos="7797"/>
        </w:tabs>
        <w:ind w:firstLine="560"/>
        <w:jc w:val="center"/>
        <w:rPr>
          <w:b/>
          <w:sz w:val="52"/>
        </w:rPr>
      </w:pPr>
      <w:r>
        <w:drawing>
          <wp:anchor distT="0" distB="0" distL="114300" distR="114300" simplePos="0" relativeHeight="251687936" behindDoc="1" locked="0" layoutInCell="1" allowOverlap="1">
            <wp:simplePos x="0" y="0"/>
            <wp:positionH relativeFrom="column">
              <wp:posOffset>-1038225</wp:posOffset>
            </wp:positionH>
            <wp:positionV relativeFrom="paragraph">
              <wp:posOffset>-777240</wp:posOffset>
            </wp:positionV>
            <wp:extent cx="7560310" cy="2268220"/>
            <wp:effectExtent l="0" t="0" r="0" b="18415"/>
            <wp:wrapNone/>
            <wp:docPr id="8900" name="图片 8063" descr="苏州市住房和城乡建设局文件 便签 文件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 name="图片 8063" descr="苏州市住房和城乡建设局文件 便签 文件头"/>
                    <pic:cNvPicPr>
                      <a:picLocks noChangeAspect="1"/>
                    </pic:cNvPicPr>
                  </pic:nvPicPr>
                  <pic:blipFill>
                    <a:blip r:embed="rId59"/>
                    <a:stretch>
                      <a:fillRect/>
                    </a:stretch>
                  </pic:blipFill>
                  <pic:spPr>
                    <a:xfrm>
                      <a:off x="0" y="0"/>
                      <a:ext cx="7560310" cy="2268220"/>
                    </a:xfrm>
                    <a:prstGeom prst="rect">
                      <a:avLst/>
                    </a:prstGeom>
                    <a:noFill/>
                    <a:ln>
                      <a:noFill/>
                    </a:ln>
                  </pic:spPr>
                </pic:pic>
              </a:graphicData>
            </a:graphic>
          </wp:anchor>
        </w:drawing>
      </w:r>
    </w:p>
    <w:p>
      <w:pPr>
        <w:ind w:firstLine="1044"/>
        <w:jc w:val="center"/>
        <w:rPr>
          <w:b/>
          <w:sz w:val="52"/>
        </w:rPr>
      </w:pPr>
    </w:p>
    <w:p>
      <w:pPr>
        <w:ind w:firstLine="1044"/>
        <w:jc w:val="center"/>
        <w:rPr>
          <w:b/>
          <w:sz w:val="52"/>
        </w:rPr>
      </w:pPr>
    </w:p>
    <w:p>
      <w:pPr>
        <w:spacing w:line="500" w:lineRule="exact"/>
        <w:ind w:firstLine="560"/>
        <w:jc w:val="right"/>
        <w:rPr>
          <w:rFonts w:ascii="仿宋_GB2312"/>
          <w:szCs w:val="32"/>
        </w:rPr>
      </w:pPr>
    </w:p>
    <w:p>
      <w:pPr>
        <w:ind w:firstLine="560"/>
        <w:jc w:val="center"/>
        <w:rPr>
          <w:rFonts w:ascii="仿宋_GB2312"/>
          <w:szCs w:val="32"/>
        </w:rPr>
      </w:pPr>
    </w:p>
    <w:p>
      <w:pPr>
        <w:pStyle w:val="4"/>
        <w:rPr>
          <w:rFonts w:hint="eastAsia"/>
        </w:rPr>
      </w:pPr>
      <w:bookmarkStart w:id="1571" w:name="_Toc12979"/>
      <w:bookmarkStart w:id="1572" w:name="_Toc22002"/>
      <w:bookmarkStart w:id="1573" w:name="_Toc23756"/>
      <w:bookmarkStart w:id="1574" w:name="_Toc27426"/>
      <w:bookmarkStart w:id="1575" w:name="_Toc31405"/>
      <w:bookmarkStart w:id="1576" w:name="_Toc15419"/>
      <w:bookmarkStart w:id="1577" w:name="_Toc8978"/>
      <w:bookmarkStart w:id="1578" w:name="_Toc15030"/>
      <w:bookmarkStart w:id="1579" w:name="_Toc31401"/>
      <w:bookmarkStart w:id="1580" w:name="_Toc21959"/>
      <w:bookmarkStart w:id="1581" w:name="_Toc23084"/>
    </w:p>
    <w:p>
      <w:pPr>
        <w:pStyle w:val="4"/>
      </w:pPr>
      <w:r>
        <w:rPr>
          <w:rFonts w:hint="eastAsia"/>
        </w:rPr>
        <w:t>苏建函建〔2021〕208号</w:t>
      </w:r>
      <w:bookmarkEnd w:id="1571"/>
      <w:bookmarkEnd w:id="1572"/>
      <w:bookmarkEnd w:id="1573"/>
      <w:bookmarkEnd w:id="1574"/>
      <w:bookmarkEnd w:id="1575"/>
      <w:bookmarkEnd w:id="1576"/>
      <w:bookmarkEnd w:id="1577"/>
      <w:bookmarkEnd w:id="1578"/>
      <w:bookmarkEnd w:id="1579"/>
      <w:bookmarkEnd w:id="1580"/>
      <w:bookmarkEnd w:id="1581"/>
    </w:p>
    <w:p>
      <w:pPr>
        <w:spacing w:line="700" w:lineRule="exact"/>
        <w:ind w:firstLine="880"/>
        <w:jc w:val="center"/>
        <w:rPr>
          <w:rFonts w:ascii="方正小标宋_GBK" w:eastAsia="方正小标宋_GBK"/>
          <w:sz w:val="44"/>
          <w:szCs w:val="44"/>
        </w:rPr>
      </w:pPr>
    </w:p>
    <w:p>
      <w:pPr>
        <w:pStyle w:val="3"/>
      </w:pPr>
      <w:bookmarkStart w:id="1582" w:name="_Toc18803"/>
      <w:bookmarkStart w:id="1583" w:name="_Toc18298"/>
      <w:bookmarkStart w:id="1584" w:name="_Toc17947"/>
      <w:bookmarkStart w:id="1585" w:name="_Toc2163"/>
      <w:bookmarkStart w:id="1586" w:name="_Toc29852"/>
      <w:bookmarkStart w:id="1587" w:name="_Toc27993"/>
      <w:bookmarkStart w:id="1588" w:name="_Toc14084"/>
      <w:bookmarkStart w:id="1589" w:name="_Toc15594"/>
      <w:bookmarkStart w:id="1590" w:name="_Toc10481"/>
      <w:bookmarkStart w:id="1591" w:name="_Toc14172"/>
      <w:bookmarkStart w:id="1592" w:name="_Toc24006"/>
      <w:bookmarkStart w:id="1593" w:name="_Toc30105"/>
      <w:bookmarkStart w:id="1594" w:name="_Toc30623"/>
      <w:bookmarkStart w:id="1595" w:name="_Toc19200"/>
      <w:r>
        <w:rPr>
          <w:rFonts w:hint="eastAsia"/>
        </w:rPr>
        <w:t>关于转发《省住房城乡建设厅关于智慧工地</w:t>
      </w:r>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p>
    <w:p>
      <w:pPr>
        <w:pStyle w:val="3"/>
      </w:pPr>
      <w:bookmarkStart w:id="1596" w:name="_Toc10148"/>
      <w:bookmarkStart w:id="1597" w:name="_Toc8964"/>
      <w:bookmarkStart w:id="1598" w:name="_Toc24782"/>
      <w:bookmarkStart w:id="1599" w:name="_Toc10126"/>
      <w:bookmarkStart w:id="1600" w:name="_Toc2009"/>
      <w:bookmarkStart w:id="1601" w:name="_Toc5976"/>
      <w:bookmarkStart w:id="1602" w:name="_Toc20825"/>
      <w:bookmarkStart w:id="1603" w:name="_Toc28423"/>
      <w:bookmarkStart w:id="1604" w:name="_Toc20818"/>
      <w:bookmarkStart w:id="1605" w:name="_Toc372"/>
      <w:bookmarkStart w:id="1606" w:name="_Toc5637"/>
      <w:bookmarkStart w:id="1607" w:name="_Toc31800"/>
      <w:bookmarkStart w:id="1608" w:name="_Toc20579"/>
      <w:bookmarkStart w:id="1609" w:name="_Toc14481"/>
      <w:r>
        <w:rPr>
          <w:rFonts w:hint="eastAsia"/>
        </w:rPr>
        <w:t>费用计取方法的公告》的通知</w:t>
      </w:r>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p>
    <w:p>
      <w:pPr>
        <w:pStyle w:val="20"/>
        <w:shd w:val="clear" w:color="auto" w:fill="FFFFFF"/>
        <w:spacing w:before="0" w:beforeAutospacing="0" w:after="0" w:afterAutospacing="0" w:line="500" w:lineRule="atLeast"/>
        <w:ind w:firstLine="440"/>
        <w:jc w:val="both"/>
        <w:rPr>
          <w:color w:val="000000"/>
          <w:sz w:val="22"/>
          <w:szCs w:val="22"/>
        </w:rPr>
      </w:pPr>
    </w:p>
    <w:p>
      <w:pPr>
        <w:ind w:firstLine="0" w:firstLineChars="0"/>
      </w:pPr>
      <w:r>
        <w:rPr>
          <w:rFonts w:hint="eastAsia"/>
        </w:rPr>
        <w:t>各市、区住建局（委），苏州工业园区规建委，各有关单位：</w:t>
      </w:r>
    </w:p>
    <w:p>
      <w:pPr>
        <w:ind w:firstLine="560"/>
      </w:pPr>
      <w:r>
        <w:rPr>
          <w:rFonts w:hint="eastAsia"/>
        </w:rPr>
        <w:t>现将《省住房城乡建设厅关于智慧工地费用计取方法的公告》（省厅公告〔2021〕第16号）转发给你们，结合我市实际提出如下要求，请一并遵照执行。</w:t>
      </w:r>
    </w:p>
    <w:p>
      <w:pPr>
        <w:numPr>
          <w:ilvl w:val="0"/>
          <w:numId w:val="7"/>
        </w:numPr>
        <w:ind w:firstLine="560"/>
        <w:rPr>
          <w:rFonts w:hint="eastAsia"/>
        </w:rPr>
      </w:pPr>
      <w:r>
        <w:rPr>
          <w:rFonts w:hint="eastAsia"/>
        </w:rPr>
        <w:t>为减少争议，增加可操作性，对智慧工地费用取费确定统一标准，调整后的费用取费标准表如下：</w:t>
      </w: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p>
      <w:pPr>
        <w:pStyle w:val="2"/>
        <w:widowControl w:val="0"/>
        <w:numPr>
          <w:ilvl w:val="0"/>
          <w:numId w:val="0"/>
        </w:numPr>
        <w:spacing w:line="520" w:lineRule="exact"/>
        <w:contextualSpacing/>
        <w:jc w:val="both"/>
      </w:pPr>
    </w:p>
    <w:tbl>
      <w:tblPr>
        <w:tblStyle w:val="22"/>
        <w:tblW w:w="83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95"/>
        <w:gridCol w:w="3347"/>
        <w:gridCol w:w="1260"/>
        <w:gridCol w:w="1260"/>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jc w:val="center"/>
        </w:trPr>
        <w:tc>
          <w:tcPr>
            <w:tcW w:w="795" w:type="dxa"/>
            <w:vMerge w:val="restart"/>
            <w:vAlign w:val="center"/>
          </w:tcPr>
          <w:p>
            <w:pPr>
              <w:pStyle w:val="20"/>
              <w:snapToGrid w:val="0"/>
              <w:spacing w:before="0" w:beforeAutospacing="0" w:after="0" w:afterAutospacing="0" w:line="240" w:lineRule="auto"/>
              <w:ind w:firstLine="0" w:firstLineChars="0"/>
              <w:jc w:val="center"/>
              <w:rPr>
                <w:rFonts w:cs="Times New Roman"/>
              </w:rPr>
            </w:pPr>
            <w:r>
              <w:rPr>
                <w:rFonts w:cs="方正黑体_GBK"/>
                <w:color w:val="000000"/>
              </w:rPr>
              <w:t>序号</w:t>
            </w:r>
          </w:p>
        </w:tc>
        <w:tc>
          <w:tcPr>
            <w:tcW w:w="3347" w:type="dxa"/>
            <w:vMerge w:val="restart"/>
            <w:vAlign w:val="center"/>
          </w:tcPr>
          <w:p>
            <w:pPr>
              <w:pStyle w:val="20"/>
              <w:snapToGrid w:val="0"/>
              <w:spacing w:before="0" w:beforeAutospacing="0" w:after="0" w:afterAutospacing="0" w:line="240" w:lineRule="auto"/>
              <w:ind w:firstLine="0" w:firstLineChars="0"/>
              <w:jc w:val="center"/>
              <w:rPr>
                <w:rFonts w:cs="Times New Roman"/>
              </w:rPr>
            </w:pPr>
            <w:r>
              <w:rPr>
                <w:rFonts w:cs="方正黑体_GBK"/>
                <w:color w:val="000000"/>
              </w:rPr>
              <w:t>工程名称</w:t>
            </w:r>
          </w:p>
        </w:tc>
        <w:tc>
          <w:tcPr>
            <w:tcW w:w="2520" w:type="dxa"/>
            <w:gridSpan w:val="2"/>
            <w:vAlign w:val="center"/>
          </w:tcPr>
          <w:p>
            <w:pPr>
              <w:pStyle w:val="20"/>
              <w:snapToGrid w:val="0"/>
              <w:spacing w:before="0" w:beforeAutospacing="0" w:after="0" w:afterAutospacing="0" w:line="240" w:lineRule="auto"/>
              <w:ind w:firstLine="0" w:firstLineChars="0"/>
              <w:jc w:val="center"/>
              <w:rPr>
                <w:rFonts w:cs="Times New Roman"/>
              </w:rPr>
            </w:pPr>
            <w:r>
              <w:rPr>
                <w:rFonts w:cs="方正黑体_GBK"/>
                <w:color w:val="000000"/>
              </w:rPr>
              <w:t>计费基础</w:t>
            </w:r>
          </w:p>
        </w:tc>
        <w:tc>
          <w:tcPr>
            <w:tcW w:w="1674" w:type="dxa"/>
            <w:vMerge w:val="restart"/>
            <w:vAlign w:val="center"/>
          </w:tcPr>
          <w:p>
            <w:pPr>
              <w:pStyle w:val="20"/>
              <w:snapToGrid w:val="0"/>
              <w:spacing w:before="0" w:beforeAutospacing="0" w:after="0" w:afterAutospacing="0" w:line="240" w:lineRule="auto"/>
              <w:ind w:firstLine="0" w:firstLineChars="0"/>
              <w:jc w:val="center"/>
              <w:rPr>
                <w:rFonts w:cs="Times New Roman"/>
              </w:rPr>
            </w:pPr>
            <w:r>
              <w:rPr>
                <w:rFonts w:cs="方正黑体_GBK"/>
                <w:color w:val="000000"/>
              </w:rPr>
              <w:t>费率</w:t>
            </w:r>
            <w:r>
              <w:rPr>
                <w:rFonts w:hint="eastAsia" w:cs="方正黑体_GBK"/>
                <w:color w:val="000000"/>
              </w:rPr>
              <w:t>（</w:t>
            </w:r>
            <w:r>
              <w:rPr>
                <w:rFonts w:cs="Times New Roman"/>
                <w:color w:val="000000"/>
              </w:rPr>
              <w:t>%</w:t>
            </w:r>
            <w:r>
              <w:rPr>
                <w:rFonts w:cs="方正黑体_GBK"/>
                <w:color w:val="00000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0" w:hRule="atLeast"/>
          <w:jc w:val="center"/>
        </w:trPr>
        <w:tc>
          <w:tcPr>
            <w:tcW w:w="795" w:type="dxa"/>
            <w:vMerge w:val="continue"/>
            <w:vAlign w:val="center"/>
          </w:tcPr>
          <w:p>
            <w:pPr>
              <w:spacing w:line="240" w:lineRule="auto"/>
              <w:ind w:firstLine="0" w:firstLineChars="0"/>
              <w:rPr>
                <w:rFonts w:ascii="宋体" w:hAnsi="宋体" w:cs="宋体"/>
                <w:color w:val="333333"/>
                <w:sz w:val="24"/>
              </w:rPr>
            </w:pPr>
          </w:p>
        </w:tc>
        <w:tc>
          <w:tcPr>
            <w:tcW w:w="3347" w:type="dxa"/>
            <w:vMerge w:val="continue"/>
            <w:vAlign w:val="center"/>
          </w:tcPr>
          <w:p>
            <w:pPr>
              <w:spacing w:line="240" w:lineRule="auto"/>
              <w:ind w:firstLine="0" w:firstLineChars="0"/>
              <w:rPr>
                <w:rFonts w:ascii="宋体" w:hAnsi="宋体" w:cs="宋体"/>
                <w:color w:val="333333"/>
                <w:sz w:val="24"/>
              </w:rPr>
            </w:pPr>
          </w:p>
        </w:tc>
        <w:tc>
          <w:tcPr>
            <w:tcW w:w="1260" w:type="dxa"/>
            <w:vAlign w:val="center"/>
          </w:tcPr>
          <w:p>
            <w:pPr>
              <w:pStyle w:val="20"/>
              <w:snapToGrid w:val="0"/>
              <w:spacing w:before="0" w:beforeAutospacing="0" w:after="0" w:afterAutospacing="0" w:line="240" w:lineRule="auto"/>
              <w:ind w:firstLine="0" w:firstLineChars="0"/>
              <w:jc w:val="center"/>
              <w:rPr>
                <w:rFonts w:cs="Times New Roman"/>
              </w:rPr>
            </w:pPr>
            <w:r>
              <w:rPr>
                <w:rFonts w:cs="方正黑体_GBK"/>
                <w:color w:val="333333"/>
              </w:rPr>
              <w:t>一般</w:t>
            </w:r>
          </w:p>
          <w:p>
            <w:pPr>
              <w:pStyle w:val="20"/>
              <w:snapToGrid w:val="0"/>
              <w:spacing w:before="0" w:beforeAutospacing="0" w:after="0" w:afterAutospacing="0" w:line="240" w:lineRule="auto"/>
              <w:ind w:firstLine="0" w:firstLineChars="0"/>
              <w:jc w:val="center"/>
              <w:rPr>
                <w:rFonts w:cs="Times New Roman"/>
              </w:rPr>
            </w:pPr>
            <w:r>
              <w:rPr>
                <w:rFonts w:cs="方正黑体_GBK"/>
                <w:color w:val="333333"/>
              </w:rPr>
              <w:t>计税</w:t>
            </w:r>
          </w:p>
        </w:tc>
        <w:tc>
          <w:tcPr>
            <w:tcW w:w="1260" w:type="dxa"/>
            <w:vAlign w:val="center"/>
          </w:tcPr>
          <w:p>
            <w:pPr>
              <w:pStyle w:val="20"/>
              <w:snapToGrid w:val="0"/>
              <w:spacing w:before="0" w:beforeAutospacing="0" w:after="0" w:afterAutospacing="0" w:line="240" w:lineRule="auto"/>
              <w:ind w:firstLine="0" w:firstLineChars="0"/>
              <w:jc w:val="center"/>
              <w:rPr>
                <w:rFonts w:cs="Times New Roman"/>
              </w:rPr>
            </w:pPr>
            <w:r>
              <w:rPr>
                <w:rFonts w:cs="方正黑体_GBK"/>
                <w:color w:val="333333"/>
              </w:rPr>
              <w:t>简易</w:t>
            </w:r>
          </w:p>
          <w:p>
            <w:pPr>
              <w:pStyle w:val="20"/>
              <w:snapToGrid w:val="0"/>
              <w:spacing w:before="0" w:beforeAutospacing="0" w:after="0" w:afterAutospacing="0" w:line="240" w:lineRule="auto"/>
              <w:ind w:firstLine="0" w:firstLineChars="0"/>
              <w:jc w:val="center"/>
              <w:rPr>
                <w:rFonts w:cs="Times New Roman"/>
              </w:rPr>
            </w:pPr>
            <w:r>
              <w:rPr>
                <w:rFonts w:cs="方正黑体_GBK"/>
                <w:color w:val="333333"/>
              </w:rPr>
              <w:t>计税</w:t>
            </w:r>
          </w:p>
        </w:tc>
        <w:tc>
          <w:tcPr>
            <w:tcW w:w="1674" w:type="dxa"/>
            <w:vMerge w:val="continue"/>
            <w:vAlign w:val="center"/>
          </w:tcPr>
          <w:p>
            <w:pPr>
              <w:spacing w:line="240" w:lineRule="auto"/>
              <w:ind w:firstLine="0" w:firstLineChars="0"/>
              <w:rPr>
                <w:rFonts w:ascii="宋体" w:hAnsi="宋体" w:cs="宋体"/>
                <w:color w:val="333333"/>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一</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建筑工程</w:t>
            </w:r>
          </w:p>
        </w:tc>
        <w:tc>
          <w:tcPr>
            <w:tcW w:w="1260" w:type="dxa"/>
            <w:vMerge w:val="restart"/>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333333"/>
              </w:rPr>
              <w:t>分部分项工程费</w:t>
            </w:r>
          </w:p>
          <w:p>
            <w:pPr>
              <w:pStyle w:val="20"/>
              <w:snapToGrid w:val="0"/>
              <w:spacing w:before="0" w:beforeAutospacing="0" w:after="0" w:afterAutospacing="0" w:line="240" w:lineRule="auto"/>
              <w:ind w:firstLine="0" w:firstLineChars="0"/>
              <w:jc w:val="center"/>
              <w:rPr>
                <w:rFonts w:cs="Times New Roman"/>
              </w:rPr>
            </w:pPr>
            <w:r>
              <w:rPr>
                <w:rFonts w:cs="Times New Roman"/>
                <w:color w:val="333333"/>
              </w:rPr>
              <w:t>+</w:t>
            </w:r>
            <w:r>
              <w:rPr>
                <w:rFonts w:hint="eastAsia" w:cs="方正仿宋_GBK"/>
                <w:color w:val="333333"/>
              </w:rPr>
              <w:t>单价措施项目费</w:t>
            </w:r>
            <w:r>
              <w:rPr>
                <w:rFonts w:cs="Times New Roman"/>
                <w:color w:val="333333"/>
              </w:rPr>
              <w:t>-</w:t>
            </w:r>
            <w:r>
              <w:rPr>
                <w:rFonts w:hint="eastAsia" w:cs="方正仿宋_GBK"/>
                <w:color w:val="333333"/>
              </w:rPr>
              <w:t>除税工程设备费</w:t>
            </w:r>
          </w:p>
        </w:tc>
        <w:tc>
          <w:tcPr>
            <w:tcW w:w="1260" w:type="dxa"/>
            <w:vMerge w:val="restart"/>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333333"/>
              </w:rPr>
              <w:t>分部分项工程费</w:t>
            </w:r>
          </w:p>
          <w:p>
            <w:pPr>
              <w:pStyle w:val="20"/>
              <w:snapToGrid w:val="0"/>
              <w:spacing w:before="0" w:beforeAutospacing="0" w:after="0" w:afterAutospacing="0" w:line="240" w:lineRule="auto"/>
              <w:ind w:firstLine="0" w:firstLineChars="0"/>
              <w:jc w:val="center"/>
              <w:rPr>
                <w:rFonts w:cs="Times New Roman"/>
              </w:rPr>
            </w:pPr>
            <w:r>
              <w:rPr>
                <w:rFonts w:cs="Times New Roman"/>
                <w:color w:val="333333"/>
              </w:rPr>
              <w:t>+</w:t>
            </w:r>
            <w:r>
              <w:rPr>
                <w:rFonts w:hint="eastAsia" w:cs="方正仿宋_GBK"/>
                <w:color w:val="333333"/>
              </w:rPr>
              <w:t>单价措施项目费</w:t>
            </w:r>
            <w:r>
              <w:rPr>
                <w:rFonts w:cs="Times New Roman"/>
                <w:color w:val="333333"/>
              </w:rPr>
              <w:t>-</w:t>
            </w:r>
            <w:r>
              <w:rPr>
                <w:rFonts w:hint="eastAsia" w:cs="方正仿宋_GBK"/>
                <w:color w:val="333333"/>
              </w:rPr>
              <w:t>工程设备费</w:t>
            </w: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000000"/>
              </w:rPr>
              <w:t>0.1</w:t>
            </w:r>
            <w:r>
              <w:rPr>
                <w:rFonts w:hint="eastAsia" w:cs="Times New Roman"/>
                <w:color w:val="00000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二</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单独装饰工程、安装工程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000000"/>
              </w:rPr>
              <w:t>0.0</w:t>
            </w:r>
            <w:r>
              <w:rPr>
                <w:rFonts w:hint="eastAsia" w:cs="Times New Roman"/>
                <w:color w:val="000000"/>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三</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市政工程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000000"/>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四</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仿古建筑工程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333333"/>
              </w:rPr>
              <w:t>0.0</w:t>
            </w:r>
            <w:r>
              <w:rPr>
                <w:rFonts w:hint="eastAsia" w:cs="Times New Roman"/>
                <w:color w:val="333333"/>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五</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园林绿化工程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333333"/>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六</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修缮工程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000000"/>
              </w:rPr>
              <w:t>0.</w:t>
            </w:r>
            <w:r>
              <w:rPr>
                <w:rFonts w:hint="eastAsia" w:cs="Times New Roman"/>
                <w:color w:val="000000"/>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七</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城市轨道交通工程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000000"/>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795"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八</w:t>
            </w:r>
          </w:p>
        </w:tc>
        <w:tc>
          <w:tcPr>
            <w:tcW w:w="3347" w:type="dxa"/>
            <w:vAlign w:val="center"/>
          </w:tcPr>
          <w:p>
            <w:pPr>
              <w:pStyle w:val="20"/>
              <w:snapToGrid w:val="0"/>
              <w:spacing w:before="0" w:beforeAutospacing="0" w:after="0" w:afterAutospacing="0" w:line="240" w:lineRule="auto"/>
              <w:ind w:firstLine="0" w:firstLineChars="0"/>
              <w:jc w:val="center"/>
              <w:rPr>
                <w:rFonts w:cs="Times New Roman"/>
              </w:rPr>
            </w:pPr>
            <w:r>
              <w:rPr>
                <w:rFonts w:hint="eastAsia" w:cs="方正仿宋_GBK"/>
                <w:color w:val="000000"/>
              </w:rPr>
              <w:t>大型土石方工程</w:t>
            </w:r>
          </w:p>
        </w:tc>
        <w:tc>
          <w:tcPr>
            <w:tcW w:w="1260" w:type="dxa"/>
            <w:vMerge w:val="continue"/>
            <w:vAlign w:val="center"/>
          </w:tcPr>
          <w:p>
            <w:pPr>
              <w:spacing w:line="240" w:lineRule="auto"/>
              <w:ind w:firstLine="0" w:firstLineChars="0"/>
              <w:rPr>
                <w:rFonts w:ascii="宋体" w:hAnsi="宋体" w:cs="宋体"/>
                <w:color w:val="333333"/>
                <w:sz w:val="24"/>
              </w:rPr>
            </w:pPr>
          </w:p>
        </w:tc>
        <w:tc>
          <w:tcPr>
            <w:tcW w:w="1260" w:type="dxa"/>
            <w:vMerge w:val="continue"/>
            <w:vAlign w:val="center"/>
          </w:tcPr>
          <w:p>
            <w:pPr>
              <w:spacing w:line="240" w:lineRule="auto"/>
              <w:ind w:firstLine="0" w:firstLineChars="0"/>
              <w:rPr>
                <w:rFonts w:ascii="宋体" w:hAnsi="宋体" w:cs="宋体"/>
                <w:color w:val="333333"/>
                <w:sz w:val="24"/>
              </w:rPr>
            </w:pPr>
          </w:p>
        </w:tc>
        <w:tc>
          <w:tcPr>
            <w:tcW w:w="1674" w:type="dxa"/>
            <w:vAlign w:val="center"/>
          </w:tcPr>
          <w:p>
            <w:pPr>
              <w:pStyle w:val="20"/>
              <w:snapToGrid w:val="0"/>
              <w:spacing w:before="0" w:beforeAutospacing="0" w:after="0" w:afterAutospacing="0" w:line="240" w:lineRule="auto"/>
              <w:ind w:firstLine="0" w:firstLineChars="0"/>
              <w:jc w:val="center"/>
              <w:rPr>
                <w:rFonts w:cs="Times New Roman"/>
              </w:rPr>
            </w:pPr>
            <w:r>
              <w:rPr>
                <w:rFonts w:cs="Times New Roman"/>
                <w:color w:val="000000"/>
              </w:rPr>
              <w:t>0.04</w:t>
            </w:r>
          </w:p>
        </w:tc>
      </w:tr>
    </w:tbl>
    <w:p>
      <w:pPr>
        <w:pStyle w:val="20"/>
        <w:shd w:val="clear" w:color="auto" w:fill="FFFFFF"/>
        <w:spacing w:before="0" w:beforeAutospacing="0" w:after="0" w:afterAutospacing="0" w:line="500" w:lineRule="atLeast"/>
        <w:ind w:firstLine="640"/>
        <w:jc w:val="both"/>
        <w:rPr>
          <w:rFonts w:ascii="仿宋_GB2312" w:hAnsi="仿宋_GB2312" w:eastAsia="仿宋_GB2312" w:cs="仿宋_GB2312"/>
          <w:color w:val="000000"/>
          <w:sz w:val="32"/>
        </w:rPr>
      </w:pPr>
    </w:p>
    <w:p>
      <w:pPr>
        <w:ind w:firstLine="560"/>
      </w:pPr>
      <w:r>
        <w:rPr>
          <w:rFonts w:hint="eastAsia" w:ascii="仿宋_GB2312" w:hAnsi="仿宋_GB2312" w:cs="仿宋_GB2312"/>
          <w:color w:val="000000"/>
        </w:rPr>
        <w:t>二、《省</w:t>
      </w:r>
      <w:r>
        <w:rPr>
          <w:rFonts w:hint="eastAsia"/>
        </w:rPr>
        <w:t>住房城乡建设厅关于智慧工地费用计取方法的公告》以及本文之规定，自本通知发布之日起执行。</w:t>
      </w:r>
    </w:p>
    <w:p>
      <w:pPr>
        <w:ind w:firstLine="560"/>
      </w:pPr>
    </w:p>
    <w:p>
      <w:pPr>
        <w:ind w:firstLine="560"/>
      </w:pPr>
      <w:r>
        <w:rPr>
          <w:rFonts w:hint="eastAsia"/>
        </w:rPr>
        <w:t>附件：《省住房城乡建设厅关于智慧工地费用计取方法的公告》（省厅公告〔2021〕</w:t>
      </w:r>
      <w:r>
        <w:t>第16号</w:t>
      </w:r>
      <w:r>
        <w:rPr>
          <w:rFonts w:hint="eastAsia"/>
        </w:rPr>
        <w:t>）</w:t>
      </w:r>
    </w:p>
    <w:p>
      <w:pPr>
        <w:ind w:firstLine="560"/>
      </w:pPr>
    </w:p>
    <w:p>
      <w:pPr>
        <w:ind w:firstLine="560"/>
      </w:pPr>
    </w:p>
    <w:p>
      <w:pPr>
        <w:ind w:firstLine="560"/>
      </w:pPr>
    </w:p>
    <w:p>
      <w:pPr>
        <w:ind w:firstLine="4200" w:firstLineChars="1500"/>
      </w:pPr>
      <w:r>
        <w:rPr>
          <w:rFonts w:hint="eastAsia"/>
        </w:rPr>
        <w:t>苏州市住房和城乡建设局</w:t>
      </w:r>
    </w:p>
    <w:p>
      <w:pPr>
        <w:ind w:firstLine="560"/>
      </w:pPr>
      <w:r>
        <w:rPr>
          <w:rFonts w:hint="eastAsia"/>
        </w:rPr>
        <w:t xml:space="preserve">                                 2021年6月22日</w:t>
      </w:r>
    </w:p>
    <w:p>
      <w:pPr>
        <w:pStyle w:val="3"/>
        <w:keepNext w:val="0"/>
        <w:keepLines w:val="0"/>
        <w:widowControl/>
        <w:spacing w:line="600" w:lineRule="exact"/>
        <w:ind w:right="363"/>
        <w:jc w:val="left"/>
        <w:rPr>
          <w:rFonts w:ascii="仿宋_GB2312" w:hAnsi="方正小标宋_GBK" w:eastAsia="仿宋_GB2312" w:cs="方正小标宋_GBK"/>
          <w:b w:val="0"/>
          <w:bCs w:val="0"/>
          <w:snapToGrid w:val="0"/>
          <w:kern w:val="0"/>
          <w:sz w:val="32"/>
          <w:szCs w:val="32"/>
          <w:shd w:val="clear" w:color="auto" w:fill="FFFFFF"/>
          <w:lang w:bidi="ar"/>
        </w:rPr>
      </w:pPr>
      <w:bookmarkStart w:id="1610" w:name="_Toc13973"/>
      <w:bookmarkStart w:id="1611" w:name="_Toc29767"/>
      <w:bookmarkStart w:id="1612" w:name="_Toc3996"/>
      <w:bookmarkStart w:id="1613" w:name="_Toc22295"/>
      <w:bookmarkStart w:id="1614" w:name="_Toc15303"/>
      <w:bookmarkStart w:id="1615" w:name="_Toc14381"/>
      <w:bookmarkStart w:id="1616" w:name="_Toc19934"/>
      <w:bookmarkStart w:id="1617" w:name="_Toc9666"/>
      <w:bookmarkStart w:id="1618" w:name="_Toc18037"/>
      <w:bookmarkStart w:id="1619" w:name="_Toc13327"/>
      <w:bookmarkStart w:id="1620" w:name="_Toc16139"/>
      <w:bookmarkStart w:id="1621" w:name="_Toc4053"/>
      <w:bookmarkStart w:id="1622" w:name="_Toc7920"/>
      <w:bookmarkStart w:id="1623" w:name="_Toc22079"/>
      <w:r>
        <w:rPr>
          <w:rFonts w:hint="eastAsia" w:ascii="仿宋_GB2312" w:hAnsi="方正小标宋_GBK" w:eastAsia="仿宋_GB2312" w:cs="方正小标宋_GBK"/>
          <w:b w:val="0"/>
          <w:bCs w:val="0"/>
          <w:snapToGrid w:val="0"/>
          <w:kern w:val="0"/>
          <w:sz w:val="32"/>
          <w:szCs w:val="32"/>
          <w:shd w:val="clear" w:color="auto" w:fill="FFFFFF"/>
          <w:lang w:bidi="ar"/>
        </w:rPr>
        <w:t>附件</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p>
    <w:p>
      <w:pPr>
        <w:ind w:firstLine="560"/>
      </w:pPr>
    </w:p>
    <w:p>
      <w:pPr>
        <w:pStyle w:val="3"/>
        <w:keepNext w:val="0"/>
        <w:keepLines w:val="0"/>
        <w:widowControl/>
        <w:spacing w:line="600" w:lineRule="exact"/>
        <w:ind w:left="363" w:right="363"/>
        <w:rPr>
          <w:rFonts w:ascii="方正小标宋_GBK" w:hAnsi="方正小标宋_GBK" w:cs="方正小标宋_GBK"/>
          <w:b w:val="0"/>
          <w:bCs w:val="0"/>
          <w:snapToGrid w:val="0"/>
          <w:kern w:val="0"/>
          <w:shd w:val="clear" w:color="auto" w:fill="FFFFFF"/>
          <w:lang w:bidi="ar"/>
        </w:rPr>
      </w:pPr>
      <w:bookmarkStart w:id="1624" w:name="_Toc28375"/>
      <w:bookmarkStart w:id="1625" w:name="_Toc13350"/>
      <w:bookmarkStart w:id="1626" w:name="_Toc8540"/>
      <w:bookmarkStart w:id="1627" w:name="_Toc6569"/>
      <w:bookmarkStart w:id="1628" w:name="_Toc32035"/>
      <w:bookmarkStart w:id="1629" w:name="_Toc12025"/>
      <w:bookmarkStart w:id="1630" w:name="_Toc21000"/>
      <w:bookmarkStart w:id="1631" w:name="_Toc30057"/>
      <w:bookmarkStart w:id="1632" w:name="_Toc29690"/>
      <w:bookmarkStart w:id="1633" w:name="_Toc25668"/>
      <w:bookmarkStart w:id="1634" w:name="_Toc29695"/>
      <w:bookmarkStart w:id="1635" w:name="_Toc28081"/>
      <w:bookmarkStart w:id="1636" w:name="_Toc11239"/>
      <w:bookmarkStart w:id="1637" w:name="_Toc13251"/>
      <w:r>
        <w:rPr>
          <w:rFonts w:hint="eastAsia" w:ascii="方正小标宋_GBK" w:hAnsi="方正小标宋_GBK" w:cs="方正小标宋_GBK"/>
          <w:b w:val="0"/>
          <w:bCs w:val="0"/>
          <w:snapToGrid w:val="0"/>
          <w:kern w:val="0"/>
          <w:shd w:val="clear" w:color="auto" w:fill="FFFFFF"/>
          <w:lang w:bidi="ar"/>
        </w:rPr>
        <w:t>省住房城乡建设厅关于智慧工地费用</w:t>
      </w:r>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pPr>
        <w:pStyle w:val="3"/>
        <w:keepNext w:val="0"/>
        <w:keepLines w:val="0"/>
        <w:widowControl/>
        <w:spacing w:line="600" w:lineRule="exact"/>
        <w:ind w:left="363" w:right="363"/>
        <w:rPr>
          <w:rFonts w:ascii="方正小标宋_GBK" w:hAnsi="方正小标宋_GBK" w:cs="方正小标宋_GBK"/>
          <w:b w:val="0"/>
          <w:bCs w:val="0"/>
          <w:snapToGrid w:val="0"/>
          <w:kern w:val="0"/>
          <w:shd w:val="clear" w:color="auto" w:fill="FFFFFF"/>
          <w:lang w:bidi="ar"/>
        </w:rPr>
      </w:pPr>
      <w:bookmarkStart w:id="1638" w:name="_Toc23811"/>
      <w:bookmarkStart w:id="1639" w:name="_Toc17025"/>
      <w:bookmarkStart w:id="1640" w:name="_Toc676"/>
      <w:bookmarkStart w:id="1641" w:name="_Toc25109"/>
      <w:bookmarkStart w:id="1642" w:name="_Toc22340"/>
      <w:bookmarkStart w:id="1643" w:name="_Toc25427"/>
      <w:bookmarkStart w:id="1644" w:name="_Toc3299"/>
      <w:bookmarkStart w:id="1645" w:name="_Toc4581"/>
      <w:bookmarkStart w:id="1646" w:name="_Toc13725"/>
      <w:bookmarkStart w:id="1647" w:name="_Toc1358"/>
      <w:bookmarkStart w:id="1648" w:name="_Toc21287"/>
      <w:bookmarkStart w:id="1649" w:name="_Toc26530"/>
      <w:bookmarkStart w:id="1650" w:name="_Toc10279"/>
      <w:bookmarkStart w:id="1651" w:name="_Toc5575"/>
      <w:r>
        <w:rPr>
          <w:rFonts w:hint="eastAsia" w:ascii="方正小标宋_GBK" w:hAnsi="方正小标宋_GBK" w:cs="方正小标宋_GBK"/>
          <w:b w:val="0"/>
          <w:bCs w:val="0"/>
          <w:snapToGrid w:val="0"/>
          <w:kern w:val="0"/>
          <w:shd w:val="clear" w:color="auto" w:fill="FFFFFF"/>
          <w:lang w:bidi="ar"/>
        </w:rPr>
        <w:t>计取方法的公告</w:t>
      </w:r>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p>
    <w:p>
      <w:pPr>
        <w:pStyle w:val="20"/>
        <w:spacing w:before="360" w:beforeAutospacing="0" w:after="360" w:afterAutospacing="0" w:line="336" w:lineRule="atLeast"/>
        <w:ind w:left="120" w:right="120" w:firstLine="640"/>
        <w:jc w:val="center"/>
        <w:rPr>
          <w:rFonts w:ascii="Calibri" w:hAnsi="Calibri" w:cs="Calibri"/>
          <w:sz w:val="21"/>
          <w:szCs w:val="21"/>
        </w:rPr>
      </w:pPr>
      <w:r>
        <w:rPr>
          <w:rFonts w:ascii="方正黑体_GBK" w:hAnsi="方正黑体_GBK" w:eastAsia="方正黑体_GBK" w:cs="方正黑体_GBK"/>
          <w:sz w:val="32"/>
          <w:shd w:val="clear" w:color="auto" w:fill="FFFFFF"/>
        </w:rPr>
        <w:t>〔</w:t>
      </w:r>
      <w:r>
        <w:rPr>
          <w:rFonts w:ascii="Times New Roman" w:hAnsi="Times New Roman" w:cs="Times New Roman"/>
          <w:sz w:val="32"/>
          <w:shd w:val="clear" w:color="auto" w:fill="FFFFFF"/>
        </w:rPr>
        <w:t>2021</w:t>
      </w:r>
      <w:r>
        <w:rPr>
          <w:rFonts w:ascii="方正黑体_GBK" w:hAnsi="方正黑体_GBK" w:eastAsia="方正黑体_GBK" w:cs="方正黑体_GBK"/>
          <w:sz w:val="32"/>
          <w:shd w:val="clear" w:color="auto" w:fill="FFFFFF"/>
        </w:rPr>
        <w:t>〕第</w:t>
      </w:r>
      <w:r>
        <w:rPr>
          <w:rFonts w:ascii="Times New Roman" w:hAnsi="Times New Roman" w:cs="Times New Roman"/>
          <w:sz w:val="32"/>
          <w:shd w:val="clear" w:color="auto" w:fill="FFFFFF"/>
        </w:rPr>
        <w:t>16</w:t>
      </w:r>
      <w:r>
        <w:rPr>
          <w:rFonts w:ascii="方正黑体_GBK" w:hAnsi="方正黑体_GBK" w:eastAsia="方正黑体_GBK" w:cs="方正黑体_GBK"/>
          <w:sz w:val="32"/>
          <w:shd w:val="clear" w:color="auto" w:fill="FFFFFF"/>
        </w:rPr>
        <w:t>号</w:t>
      </w:r>
    </w:p>
    <w:p>
      <w:pPr>
        <w:ind w:firstLine="560"/>
      </w:pPr>
      <w:r>
        <w:rPr>
          <w:rFonts w:hint="eastAsia"/>
        </w:rPr>
        <w:t>为落实《国务院办公厅关于促进建筑业持续健康发展的意见》《住房和城乡建设部等部门关于推动智能建造与建筑工业化协同发展的指导意见》以及《江苏建造2025行动纲要》等文件要求，进一步推进我省智慧工地建设，促进建筑施工安全管理标准化、信息化、智能化，现在《江苏省建设工程费用定额》（2014年）的费用组成中增列智慧工地费用，相应费用计取方法公告如下。</w:t>
      </w:r>
    </w:p>
    <w:p>
      <w:pPr>
        <w:ind w:firstLine="560"/>
      </w:pPr>
      <w:r>
        <w:rPr>
          <w:rFonts w:hint="eastAsia"/>
        </w:rPr>
        <w:t>一、依据《江苏省智慧工地（安全部分）实施指南》，智慧工地费用包含：现场安全隐患排查、人员信息动态管理、扬尘管控视频监控、高处作业防护预警、危大工程监测预警以及集成平台等设备、软件和管理费用。</w:t>
      </w:r>
    </w:p>
    <w:p>
      <w:pPr>
        <w:ind w:firstLine="560"/>
      </w:pPr>
      <w:r>
        <w:rPr>
          <w:rFonts w:hint="eastAsia"/>
        </w:rPr>
        <w:t>二、“智慧工地费用”为总价措施项目，相应的工程量清单见附件1。</w:t>
      </w:r>
    </w:p>
    <w:p>
      <w:pPr>
        <w:ind w:firstLine="560"/>
      </w:pPr>
      <w:r>
        <w:rPr>
          <w:rFonts w:hint="eastAsia"/>
        </w:rPr>
        <w:t xml:space="preserve">三、智慧工地费用适用于有智慧工地创建要求的建设工程项目，计费标准见附件2。  </w:t>
      </w:r>
    </w:p>
    <w:p>
      <w:pPr>
        <w:ind w:firstLine="560"/>
      </w:pPr>
      <w:r>
        <w:rPr>
          <w:rFonts w:hint="eastAsia"/>
        </w:rPr>
        <w:t>四、本公告实施后发布招标公告的建设工程和签订施工合同的依法不招标的建设工程，建设方有创建智慧工地要求的，按本公告计列智慧工地费用。在本公告实施前已经按建设方要求创建智慧工地的建设工程，可根据实际投入情况（扣除政府资金补贴）计取智慧工地费用，施工合同有约定的除外。</w:t>
      </w:r>
    </w:p>
    <w:p>
      <w:pPr>
        <w:ind w:firstLine="560"/>
      </w:pPr>
      <w:r>
        <w:rPr>
          <w:rFonts w:hint="eastAsia"/>
        </w:rPr>
        <w:t>五、本公告自发布之日起实施。</w:t>
      </w:r>
    </w:p>
    <w:p>
      <w:pPr>
        <w:ind w:firstLine="560"/>
      </w:pPr>
      <w:r>
        <w:t> </w:t>
      </w:r>
      <w:r>
        <w:rPr>
          <w:rFonts w:hint="eastAsia"/>
        </w:rPr>
        <w:t xml:space="preserve">  </w:t>
      </w:r>
    </w:p>
    <w:p>
      <w:pPr>
        <w:ind w:firstLine="560"/>
      </w:pPr>
      <w:r>
        <w:rPr>
          <w:rFonts w:hint="eastAsia"/>
        </w:rPr>
        <w:t xml:space="preserve"> 附件：</w:t>
      </w:r>
      <w:r>
        <w:t>1.</w:t>
      </w:r>
      <w:r>
        <w:rPr>
          <w:rFonts w:hint="eastAsia"/>
        </w:rPr>
        <w:t>智慧工地费用工程量清单</w:t>
      </w:r>
    </w:p>
    <w:p>
      <w:pPr>
        <w:ind w:firstLine="560"/>
      </w:pPr>
      <w:r>
        <w:t xml:space="preserve">    </w:t>
      </w:r>
      <w:r>
        <w:rPr>
          <w:rFonts w:hint="eastAsia"/>
        </w:rPr>
        <w:t xml:space="preserve">    </w:t>
      </w:r>
      <w:r>
        <w:t>2.</w:t>
      </w:r>
      <w:r>
        <w:rPr>
          <w:rFonts w:hint="eastAsia"/>
        </w:rPr>
        <w:t>智慧工地费用取费标准表</w:t>
      </w:r>
    </w:p>
    <w:p>
      <w:pPr>
        <w:ind w:firstLine="560"/>
      </w:pPr>
      <w:r>
        <w:t> </w:t>
      </w:r>
    </w:p>
    <w:p>
      <w:pPr>
        <w:ind w:firstLine="560"/>
      </w:pPr>
      <w:r>
        <w:t> </w:t>
      </w:r>
    </w:p>
    <w:p>
      <w:pPr>
        <w:ind w:firstLine="560"/>
      </w:pPr>
    </w:p>
    <w:p>
      <w:pPr>
        <w:ind w:firstLine="3920" w:firstLineChars="1400"/>
      </w:pPr>
      <w:r>
        <w:rPr>
          <w:rFonts w:hint="eastAsia"/>
        </w:rPr>
        <w:t>江苏省住房和城乡建设厅</w:t>
      </w:r>
    </w:p>
    <w:p>
      <w:pPr>
        <w:ind w:firstLine="4760" w:firstLineChars="1700"/>
      </w:pPr>
      <w:r>
        <w:t>2021</w:t>
      </w:r>
      <w:r>
        <w:rPr>
          <w:rFonts w:hint="eastAsia"/>
        </w:rPr>
        <w:t>年</w:t>
      </w:r>
      <w:r>
        <w:t>6</w:t>
      </w:r>
      <w:r>
        <w:rPr>
          <w:rFonts w:hint="eastAsia"/>
        </w:rPr>
        <w:t>月</w:t>
      </w:r>
      <w:r>
        <w:t>16</w:t>
      </w:r>
      <w:r>
        <w:rPr>
          <w:rFonts w:hint="eastAsia"/>
        </w:rPr>
        <w:t>日</w:t>
      </w:r>
    </w:p>
    <w:p>
      <w:pPr>
        <w:pStyle w:val="20"/>
        <w:snapToGrid w:val="0"/>
        <w:spacing w:before="360" w:beforeAutospacing="0" w:after="360" w:afterAutospacing="0" w:line="570" w:lineRule="atLeast"/>
        <w:ind w:left="120" w:right="120" w:firstLine="420"/>
        <w:jc w:val="both"/>
        <w:rPr>
          <w:rFonts w:ascii="Times New Roman" w:hAnsi="Times New Roman" w:cs="Times New Roman"/>
          <w:sz w:val="21"/>
          <w:szCs w:val="21"/>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20" w:right="120" w:firstLine="640"/>
        <w:jc w:val="both"/>
        <w:rPr>
          <w:rFonts w:ascii="方正黑体_GBK" w:hAnsi="方正黑体_GBK" w:eastAsia="方正黑体_GBK" w:cs="方正黑体_GBK"/>
          <w:snapToGrid w:val="0"/>
          <w:color w:val="333333"/>
          <w:sz w:val="32"/>
          <w:shd w:val="clear" w:color="auto" w:fill="FFFFFF"/>
        </w:rPr>
      </w:pPr>
    </w:p>
    <w:p>
      <w:pPr>
        <w:pStyle w:val="20"/>
        <w:snapToGrid w:val="0"/>
        <w:spacing w:before="360" w:beforeAutospacing="0" w:after="360" w:afterAutospacing="0" w:line="570" w:lineRule="atLeast"/>
        <w:ind w:left="118" w:right="120" w:hanging="118" w:hangingChars="37"/>
        <w:jc w:val="both"/>
        <w:outlineLvl w:val="0"/>
        <w:rPr>
          <w:rFonts w:ascii="仿宋_GB2312" w:hAnsi="Times New Roman" w:eastAsia="仿宋_GB2312" w:cs="Times New Roman"/>
          <w:sz w:val="21"/>
          <w:szCs w:val="21"/>
        </w:rPr>
      </w:pPr>
      <w:bookmarkStart w:id="1652" w:name="_Toc18907"/>
      <w:bookmarkStart w:id="1653" w:name="_Toc20967"/>
      <w:bookmarkStart w:id="1654" w:name="_Toc1027"/>
      <w:bookmarkStart w:id="1655" w:name="_Toc28392"/>
      <w:bookmarkStart w:id="1656" w:name="_Toc23839"/>
      <w:bookmarkStart w:id="1657" w:name="_Toc9416"/>
      <w:bookmarkStart w:id="1658" w:name="_Toc28660"/>
      <w:bookmarkStart w:id="1659" w:name="_Toc32322"/>
      <w:bookmarkStart w:id="1660" w:name="_Toc8587"/>
      <w:bookmarkStart w:id="1661" w:name="_Toc20861"/>
      <w:r>
        <w:rPr>
          <w:rFonts w:hint="eastAsia" w:ascii="仿宋_GB2312" w:hAnsi="方正黑体_GBK" w:eastAsia="仿宋_GB2312" w:cs="方正黑体_GBK"/>
          <w:snapToGrid w:val="0"/>
          <w:color w:val="333333"/>
          <w:sz w:val="32"/>
          <w:shd w:val="clear" w:color="auto" w:fill="FFFFFF"/>
        </w:rPr>
        <w:t>附件</w:t>
      </w:r>
      <w:r>
        <w:rPr>
          <w:rFonts w:hint="eastAsia" w:ascii="仿宋_GB2312" w:hAnsi="Times New Roman" w:eastAsia="仿宋_GB2312" w:cs="Times New Roman"/>
          <w:snapToGrid w:val="0"/>
          <w:color w:val="333333"/>
          <w:sz w:val="32"/>
          <w:shd w:val="clear" w:color="auto" w:fill="FFFFFF"/>
        </w:rPr>
        <w:t>1</w:t>
      </w:r>
      <w:r>
        <w:rPr>
          <w:rFonts w:hint="eastAsia" w:ascii="仿宋_GB2312" w:hAnsi="Times New Roman" w:eastAsia="仿宋_GB2312" w:cs="Times New Roman"/>
          <w:snapToGrid w:val="0"/>
          <w:color w:val="333333"/>
          <w:sz w:val="44"/>
          <w:szCs w:val="44"/>
          <w:shd w:val="clear" w:color="auto" w:fill="FFFFFF"/>
        </w:rPr>
        <w:t> </w:t>
      </w:r>
      <w:bookmarkEnd w:id="1652"/>
      <w:bookmarkEnd w:id="1653"/>
      <w:bookmarkEnd w:id="1654"/>
      <w:bookmarkEnd w:id="1655"/>
      <w:bookmarkEnd w:id="1656"/>
      <w:bookmarkEnd w:id="1657"/>
      <w:bookmarkEnd w:id="1658"/>
      <w:bookmarkEnd w:id="1659"/>
      <w:bookmarkEnd w:id="1660"/>
      <w:bookmarkEnd w:id="1661"/>
    </w:p>
    <w:p>
      <w:pPr>
        <w:pStyle w:val="20"/>
        <w:snapToGrid w:val="0"/>
        <w:spacing w:before="360" w:beforeAutospacing="0" w:after="360" w:afterAutospacing="0" w:line="570" w:lineRule="atLeast"/>
        <w:ind w:left="119" w:right="120" w:hanging="118" w:hangingChars="33"/>
        <w:jc w:val="center"/>
        <w:rPr>
          <w:rFonts w:ascii="Times New Roman" w:hAnsi="Times New Roman" w:cs="Times New Roman"/>
          <w:sz w:val="36"/>
          <w:szCs w:val="36"/>
        </w:rPr>
      </w:pPr>
      <w:r>
        <w:rPr>
          <w:rFonts w:ascii="方正小标宋_GBK" w:hAnsi="方正小标宋_GBK" w:eastAsia="方正小标宋_GBK" w:cs="方正小标宋_GBK"/>
          <w:snapToGrid w:val="0"/>
          <w:color w:val="333333"/>
          <w:sz w:val="36"/>
          <w:szCs w:val="36"/>
          <w:shd w:val="clear" w:color="auto" w:fill="FFFFFF"/>
        </w:rPr>
        <w:t>智慧工地费用工程量清单</w:t>
      </w:r>
      <w:r>
        <w:rPr>
          <w:rFonts w:ascii="Times New Roman" w:hAnsi="Times New Roman" w:eastAsia="方正仿宋_GBK" w:cs="Times New Roman"/>
          <w:snapToGrid w:val="0"/>
          <w:color w:val="333333"/>
          <w:sz w:val="36"/>
          <w:szCs w:val="36"/>
          <w:shd w:val="clear" w:color="auto" w:fill="FFFFFF"/>
        </w:rPr>
        <w:t>  </w:t>
      </w:r>
    </w:p>
    <w:tbl>
      <w:tblPr>
        <w:tblStyle w:val="22"/>
        <w:tblpPr w:vertAnchor="text"/>
        <w:tblW w:w="8927" w:type="dxa"/>
        <w:tblInd w:w="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autofit"/>
        <w:tblCellMar>
          <w:top w:w="0" w:type="dxa"/>
          <w:left w:w="0" w:type="dxa"/>
          <w:bottom w:w="0" w:type="dxa"/>
          <w:right w:w="0" w:type="dxa"/>
        </w:tblCellMar>
      </w:tblPr>
      <w:tblGrid>
        <w:gridCol w:w="2890"/>
        <w:gridCol w:w="1849"/>
        <w:gridCol w:w="1140"/>
        <w:gridCol w:w="3048"/>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1045" w:hRule="atLeast"/>
        </w:trPr>
        <w:tc>
          <w:tcPr>
            <w:tcW w:w="2890" w:type="dxa"/>
            <w:tcBorders>
              <w:top w:val="single" w:color="auto" w:sz="8" w:space="0"/>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440" w:lineRule="atLeast"/>
              <w:ind w:firstLine="0" w:firstLineChars="0"/>
              <w:jc w:val="center"/>
              <w:rPr>
                <w:rFonts w:cs="Times New Roman"/>
                <w:sz w:val="21"/>
                <w:szCs w:val="21"/>
              </w:rPr>
            </w:pPr>
            <w:r>
              <w:rPr>
                <w:rFonts w:cs="方正黑体_GBK"/>
                <w:color w:val="000000"/>
                <w:sz w:val="28"/>
                <w:szCs w:val="28"/>
              </w:rPr>
              <w:t>工程类型</w:t>
            </w:r>
          </w:p>
        </w:tc>
        <w:tc>
          <w:tcPr>
            <w:tcW w:w="1849" w:type="dxa"/>
            <w:tcBorders>
              <w:top w:val="single" w:color="auto" w:sz="8" w:space="0"/>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440" w:lineRule="atLeast"/>
              <w:ind w:firstLine="0" w:firstLineChars="0"/>
              <w:jc w:val="center"/>
              <w:rPr>
                <w:rFonts w:cs="Times New Roman"/>
                <w:sz w:val="21"/>
                <w:szCs w:val="21"/>
              </w:rPr>
            </w:pPr>
            <w:r>
              <w:rPr>
                <w:rFonts w:cs="方正黑体_GBK"/>
                <w:color w:val="000000"/>
                <w:sz w:val="28"/>
                <w:szCs w:val="28"/>
              </w:rPr>
              <w:t>项目编码</w:t>
            </w:r>
          </w:p>
        </w:tc>
        <w:tc>
          <w:tcPr>
            <w:tcW w:w="1140" w:type="dxa"/>
            <w:tcBorders>
              <w:top w:val="single" w:color="auto" w:sz="8" w:space="0"/>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440" w:lineRule="atLeast"/>
              <w:ind w:firstLine="0" w:firstLineChars="0"/>
              <w:jc w:val="center"/>
              <w:rPr>
                <w:rFonts w:cs="Times New Roman"/>
                <w:sz w:val="21"/>
                <w:szCs w:val="21"/>
              </w:rPr>
            </w:pPr>
            <w:r>
              <w:rPr>
                <w:rFonts w:cs="方正黑体_GBK"/>
                <w:color w:val="000000"/>
                <w:sz w:val="28"/>
                <w:szCs w:val="28"/>
              </w:rPr>
              <w:t>项目</w:t>
            </w:r>
          </w:p>
          <w:p>
            <w:pPr>
              <w:pStyle w:val="20"/>
              <w:spacing w:before="0" w:beforeAutospacing="0" w:after="0" w:afterAutospacing="0" w:line="440" w:lineRule="atLeast"/>
              <w:ind w:firstLine="0" w:firstLineChars="0"/>
              <w:jc w:val="center"/>
              <w:rPr>
                <w:rFonts w:cs="Times New Roman"/>
                <w:sz w:val="21"/>
                <w:szCs w:val="21"/>
              </w:rPr>
            </w:pPr>
            <w:r>
              <w:rPr>
                <w:rFonts w:cs="方正黑体_GBK"/>
                <w:color w:val="000000"/>
                <w:sz w:val="28"/>
                <w:szCs w:val="28"/>
              </w:rPr>
              <w:t>名称</w:t>
            </w:r>
          </w:p>
        </w:tc>
        <w:tc>
          <w:tcPr>
            <w:tcW w:w="3048" w:type="dxa"/>
            <w:tcBorders>
              <w:top w:val="single" w:color="auto" w:sz="8" w:space="0"/>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440" w:lineRule="atLeast"/>
              <w:ind w:firstLine="0" w:firstLineChars="0"/>
              <w:jc w:val="center"/>
              <w:rPr>
                <w:rFonts w:cs="Times New Roman"/>
                <w:sz w:val="21"/>
                <w:szCs w:val="21"/>
              </w:rPr>
            </w:pPr>
            <w:r>
              <w:rPr>
                <w:rFonts w:cs="方正黑体_GBK"/>
                <w:color w:val="000000"/>
                <w:sz w:val="28"/>
                <w:szCs w:val="28"/>
              </w:rPr>
              <w:t>工作内容及</w:t>
            </w:r>
          </w:p>
          <w:p>
            <w:pPr>
              <w:pStyle w:val="20"/>
              <w:spacing w:before="0" w:beforeAutospacing="0" w:after="0" w:afterAutospacing="0" w:line="440" w:lineRule="atLeast"/>
              <w:ind w:firstLine="0" w:firstLineChars="0"/>
              <w:jc w:val="center"/>
              <w:rPr>
                <w:rFonts w:cs="Times New Roman"/>
                <w:sz w:val="21"/>
                <w:szCs w:val="21"/>
              </w:rPr>
            </w:pPr>
            <w:r>
              <w:rPr>
                <w:rFonts w:cs="方正黑体_GBK"/>
                <w:color w:val="000000"/>
                <w:sz w:val="28"/>
                <w:szCs w:val="28"/>
              </w:rPr>
              <w:t>包含范围</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房屋建筑与装饰工程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011707015</w:t>
            </w:r>
          </w:p>
        </w:tc>
        <w:tc>
          <w:tcPr>
            <w:tcW w:w="1140" w:type="dxa"/>
            <w:vMerge w:val="restart"/>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333333"/>
                <w:sz w:val="28"/>
                <w:szCs w:val="28"/>
              </w:rPr>
              <w:t>智慧工地</w:t>
            </w:r>
            <w:r>
              <w:rPr>
                <w:rFonts w:hint="eastAsia" w:cs="方正仿宋_GBK"/>
                <w:color w:val="000000"/>
                <w:sz w:val="28"/>
                <w:szCs w:val="28"/>
              </w:rPr>
              <w:t>费用</w:t>
            </w:r>
          </w:p>
        </w:tc>
        <w:tc>
          <w:tcPr>
            <w:tcW w:w="3048" w:type="dxa"/>
            <w:vMerge w:val="restart"/>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both"/>
              <w:rPr>
                <w:rFonts w:cs="Times New Roman"/>
                <w:sz w:val="21"/>
                <w:szCs w:val="21"/>
              </w:rPr>
            </w:pPr>
            <w:r>
              <w:rPr>
                <w:rFonts w:hint="eastAsia" w:cs="方正仿宋_GBK"/>
                <w:color w:val="000000"/>
                <w:sz w:val="28"/>
                <w:szCs w:val="28"/>
              </w:rPr>
              <w:t>现场安全隐患排查、人员信息动态管理、扬尘管控视频监控、高处作业防护预警、危大工程监测预警和集成平台等设备、软件和管理费用。</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仿古建筑工程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021007012</w:t>
            </w:r>
          </w:p>
        </w:tc>
        <w:tc>
          <w:tcPr>
            <w:tcW w:w="1140"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c>
          <w:tcPr>
            <w:tcW w:w="3048"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通用安装工程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031302015</w:t>
            </w:r>
          </w:p>
        </w:tc>
        <w:tc>
          <w:tcPr>
            <w:tcW w:w="1140"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c>
          <w:tcPr>
            <w:tcW w:w="3048"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市政工程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041109015</w:t>
            </w:r>
          </w:p>
        </w:tc>
        <w:tc>
          <w:tcPr>
            <w:tcW w:w="1140"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c>
          <w:tcPr>
            <w:tcW w:w="3048"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园林绿化工程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050405015</w:t>
            </w:r>
          </w:p>
        </w:tc>
        <w:tc>
          <w:tcPr>
            <w:tcW w:w="1140"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c>
          <w:tcPr>
            <w:tcW w:w="3048"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构筑物工程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070306013</w:t>
            </w:r>
          </w:p>
        </w:tc>
        <w:tc>
          <w:tcPr>
            <w:tcW w:w="1140"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c>
          <w:tcPr>
            <w:tcW w:w="3048"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885" w:hRule="atLeast"/>
        </w:trPr>
        <w:tc>
          <w:tcPr>
            <w:tcW w:w="2890" w:type="dxa"/>
            <w:tcBorders>
              <w:top w:val="nil"/>
              <w:left w:val="single" w:color="auto" w:sz="8" w:space="0"/>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hint="eastAsia" w:cs="方正仿宋_GBK"/>
                <w:color w:val="000000"/>
                <w:sz w:val="28"/>
                <w:szCs w:val="28"/>
              </w:rPr>
              <w:t>城市轨道交通工程</w:t>
            </w:r>
          </w:p>
        </w:tc>
        <w:tc>
          <w:tcPr>
            <w:tcW w:w="1849" w:type="dxa"/>
            <w:tcBorders>
              <w:top w:val="nil"/>
              <w:left w:val="nil"/>
              <w:bottom w:val="single" w:color="auto" w:sz="8" w:space="0"/>
              <w:right w:val="single" w:color="auto" w:sz="8" w:space="0"/>
            </w:tcBorders>
            <w:tcMar>
              <w:left w:w="108" w:type="dxa"/>
              <w:right w:w="108" w:type="dxa"/>
            </w:tcMar>
            <w:vAlign w:val="center"/>
          </w:tcPr>
          <w:p>
            <w:pPr>
              <w:pStyle w:val="20"/>
              <w:spacing w:before="0" w:beforeAutospacing="0" w:after="0" w:afterAutospacing="0" w:line="540" w:lineRule="atLeast"/>
              <w:ind w:firstLine="0" w:firstLineChars="0"/>
              <w:jc w:val="center"/>
              <w:rPr>
                <w:rFonts w:cs="Times New Roman"/>
                <w:sz w:val="21"/>
                <w:szCs w:val="21"/>
              </w:rPr>
            </w:pPr>
            <w:r>
              <w:rPr>
                <w:rFonts w:cs="Times New Roman"/>
                <w:snapToGrid w:val="0"/>
                <w:color w:val="000000"/>
                <w:sz w:val="28"/>
                <w:szCs w:val="28"/>
              </w:rPr>
              <w:t>081311011</w:t>
            </w:r>
          </w:p>
        </w:tc>
        <w:tc>
          <w:tcPr>
            <w:tcW w:w="1140"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c>
          <w:tcPr>
            <w:tcW w:w="3048" w:type="dxa"/>
            <w:vMerge w:val="continue"/>
            <w:tcBorders>
              <w:top w:val="nil"/>
              <w:left w:val="nil"/>
              <w:bottom w:val="single" w:color="auto" w:sz="8" w:space="0"/>
              <w:right w:val="single" w:color="auto" w:sz="8" w:space="0"/>
            </w:tcBorders>
            <w:tcMar>
              <w:left w:w="108" w:type="dxa"/>
              <w:right w:w="108" w:type="dxa"/>
            </w:tcMar>
            <w:vAlign w:val="center"/>
          </w:tcPr>
          <w:p>
            <w:pPr>
              <w:ind w:firstLine="0" w:firstLineChars="0"/>
              <w:rPr>
                <w:rFonts w:ascii="宋体" w:hAnsi="宋体" w:cs="宋体"/>
                <w:color w:val="333333"/>
                <w:szCs w:val="32"/>
              </w:rPr>
            </w:pPr>
          </w:p>
        </w:tc>
      </w:tr>
    </w:tbl>
    <w:p>
      <w:pPr>
        <w:pStyle w:val="20"/>
        <w:snapToGrid w:val="0"/>
        <w:spacing w:before="360" w:beforeAutospacing="0" w:after="360" w:afterAutospacing="0" w:line="336" w:lineRule="atLeast"/>
        <w:ind w:left="120" w:right="120" w:firstLine="420"/>
        <w:jc w:val="both"/>
        <w:rPr>
          <w:rFonts w:cs="Times New Roman"/>
          <w:sz w:val="21"/>
          <w:szCs w:val="21"/>
        </w:rPr>
      </w:pPr>
      <w:r>
        <w:rPr>
          <w:rFonts w:cs="Times New Roman"/>
          <w:color w:val="333333"/>
          <w:sz w:val="21"/>
          <w:szCs w:val="21"/>
          <w:shd w:val="clear" w:color="auto" w:fill="FFFFFF"/>
        </w:rPr>
        <w:t> </w:t>
      </w:r>
    </w:p>
    <w:p>
      <w:pPr>
        <w:pStyle w:val="20"/>
        <w:spacing w:before="360" w:beforeAutospacing="0" w:after="360" w:afterAutospacing="0" w:line="570" w:lineRule="atLeast"/>
        <w:ind w:left="120" w:right="120" w:firstLine="420"/>
        <w:jc w:val="both"/>
        <w:rPr>
          <w:rFonts w:cs="Times New Roman"/>
          <w:sz w:val="21"/>
          <w:szCs w:val="21"/>
        </w:rPr>
      </w:pPr>
    </w:p>
    <w:p>
      <w:pPr>
        <w:pStyle w:val="20"/>
        <w:spacing w:before="360" w:beforeAutospacing="0" w:after="360" w:afterAutospacing="0" w:line="570" w:lineRule="atLeast"/>
        <w:ind w:left="120" w:right="120" w:firstLine="420"/>
        <w:jc w:val="both"/>
        <w:rPr>
          <w:rFonts w:cs="Times New Roman"/>
          <w:sz w:val="21"/>
          <w:szCs w:val="21"/>
        </w:rPr>
      </w:pPr>
    </w:p>
    <w:p>
      <w:pPr>
        <w:pStyle w:val="20"/>
        <w:spacing w:before="360" w:beforeAutospacing="0" w:after="360" w:afterAutospacing="0" w:line="570" w:lineRule="atLeast"/>
        <w:ind w:left="120" w:right="120" w:firstLine="640"/>
        <w:jc w:val="both"/>
        <w:rPr>
          <w:rFonts w:cs="方正黑体_GBK"/>
          <w:snapToGrid w:val="0"/>
          <w:color w:val="333333"/>
          <w:sz w:val="32"/>
          <w:shd w:val="clear" w:color="auto" w:fill="FFFFFF"/>
        </w:rPr>
      </w:pPr>
    </w:p>
    <w:p>
      <w:pPr>
        <w:pStyle w:val="20"/>
        <w:spacing w:before="360" w:beforeAutospacing="0" w:after="360" w:afterAutospacing="0" w:line="570" w:lineRule="atLeast"/>
        <w:ind w:left="118" w:right="120" w:hanging="118" w:hangingChars="37"/>
        <w:jc w:val="both"/>
        <w:outlineLvl w:val="0"/>
        <w:rPr>
          <w:rFonts w:ascii="仿宋_GB2312" w:hAnsi="Times New Roman" w:eastAsia="仿宋_GB2312" w:cs="Times New Roman"/>
        </w:rPr>
      </w:pPr>
      <w:bookmarkStart w:id="1662" w:name="_Toc29532"/>
      <w:bookmarkStart w:id="1663" w:name="_Toc8821"/>
      <w:bookmarkStart w:id="1664" w:name="_Toc13707"/>
      <w:bookmarkStart w:id="1665" w:name="_Toc333"/>
      <w:bookmarkStart w:id="1666" w:name="_Toc27072"/>
      <w:bookmarkStart w:id="1667" w:name="_Toc26422"/>
      <w:bookmarkStart w:id="1668" w:name="_Toc20565"/>
      <w:bookmarkStart w:id="1669" w:name="_Toc5276"/>
      <w:bookmarkStart w:id="1670" w:name="_Toc27461"/>
      <w:bookmarkStart w:id="1671" w:name="_Toc430"/>
      <w:r>
        <w:rPr>
          <w:rFonts w:hint="eastAsia" w:ascii="仿宋_GB2312" w:hAnsi="方正黑体_GBK" w:eastAsia="仿宋_GB2312" w:cs="方正黑体_GBK"/>
          <w:snapToGrid w:val="0"/>
          <w:color w:val="333333"/>
          <w:sz w:val="32"/>
          <w:shd w:val="clear" w:color="auto" w:fill="FFFFFF"/>
        </w:rPr>
        <w:t>附件</w:t>
      </w:r>
      <w:r>
        <w:rPr>
          <w:rFonts w:hint="eastAsia" w:ascii="仿宋_GB2312" w:hAnsi="Times New Roman" w:eastAsia="仿宋_GB2312" w:cs="Times New Roman"/>
          <w:snapToGrid w:val="0"/>
          <w:color w:val="333333"/>
          <w:sz w:val="32"/>
          <w:shd w:val="clear" w:color="auto" w:fill="FFFFFF"/>
        </w:rPr>
        <w:t>2</w:t>
      </w:r>
      <w:r>
        <w:rPr>
          <w:rFonts w:hint="eastAsia" w:ascii="仿宋_GB2312" w:hAnsi="Times New Roman" w:eastAsia="仿宋_GB2312" w:cs="Times New Roman"/>
          <w:snapToGrid w:val="0"/>
          <w:color w:val="333333"/>
          <w:sz w:val="44"/>
          <w:szCs w:val="44"/>
          <w:shd w:val="clear" w:color="auto" w:fill="FFFFFF"/>
        </w:rPr>
        <w:t> </w:t>
      </w:r>
      <w:bookmarkEnd w:id="1662"/>
      <w:bookmarkEnd w:id="1663"/>
      <w:bookmarkEnd w:id="1664"/>
      <w:bookmarkEnd w:id="1665"/>
      <w:bookmarkEnd w:id="1666"/>
      <w:bookmarkEnd w:id="1667"/>
      <w:bookmarkEnd w:id="1668"/>
      <w:bookmarkEnd w:id="1669"/>
      <w:bookmarkEnd w:id="1670"/>
      <w:bookmarkEnd w:id="1671"/>
    </w:p>
    <w:p>
      <w:pPr>
        <w:pStyle w:val="20"/>
        <w:spacing w:before="360" w:beforeAutospacing="0" w:after="360" w:afterAutospacing="0" w:line="570" w:lineRule="atLeast"/>
        <w:ind w:left="120" w:right="120" w:firstLine="880"/>
        <w:jc w:val="center"/>
        <w:rPr>
          <w:rFonts w:ascii="Times New Roman" w:hAnsi="Times New Roman" w:cs="Times New Roman"/>
          <w:sz w:val="21"/>
          <w:szCs w:val="21"/>
        </w:rPr>
      </w:pPr>
      <w:r>
        <w:rPr>
          <w:rFonts w:ascii="方正小标宋_GBK" w:hAnsi="方正小标宋_GBK" w:eastAsia="方正小标宋_GBK" w:cs="方正小标宋_GBK"/>
          <w:snapToGrid w:val="0"/>
          <w:color w:val="333333"/>
          <w:sz w:val="44"/>
          <w:szCs w:val="44"/>
          <w:shd w:val="clear" w:color="auto" w:fill="FFFFFF"/>
        </w:rPr>
        <w:t>智慧工地费用取费标准表</w:t>
      </w:r>
      <w:r>
        <w:rPr>
          <w:rFonts w:ascii="Times New Roman" w:hAnsi="Times New Roman" w:cs="Times New Roman"/>
          <w:b/>
          <w:bCs/>
          <w:color w:val="333333"/>
          <w:sz w:val="36"/>
          <w:szCs w:val="36"/>
          <w:shd w:val="clear" w:color="auto" w:fill="FFFFFF"/>
        </w:rPr>
        <w:t> </w:t>
      </w:r>
    </w:p>
    <w:tbl>
      <w:tblPr>
        <w:tblStyle w:val="22"/>
        <w:tblW w:w="9015" w:type="dxa"/>
        <w:jc w:val="cente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autofit"/>
        <w:tblCellMar>
          <w:top w:w="0" w:type="dxa"/>
          <w:left w:w="0" w:type="dxa"/>
          <w:bottom w:w="0" w:type="dxa"/>
          <w:right w:w="0" w:type="dxa"/>
        </w:tblCellMar>
      </w:tblPr>
      <w:tblGrid>
        <w:gridCol w:w="726"/>
        <w:gridCol w:w="3965"/>
        <w:gridCol w:w="1260"/>
        <w:gridCol w:w="1260"/>
        <w:gridCol w:w="1804"/>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Ex>
        <w:trPr>
          <w:trHeight w:val="680" w:hRule="atLeast"/>
          <w:jc w:val="center"/>
        </w:trPr>
        <w:tc>
          <w:tcPr>
            <w:tcW w:w="726" w:type="dxa"/>
            <w:vMerge w:val="restart"/>
            <w:tcBorders>
              <w:top w:val="inset" w:color="auto" w:sz="8" w:space="0"/>
              <w:left w:val="inset" w:color="auto" w:sz="8" w:space="0"/>
              <w:bottom w:val="single" w:color="auto" w:sz="8" w:space="0"/>
              <w:right w:val="inset" w:color="auto" w:sz="8" w:space="0"/>
            </w:tcBorders>
            <w:vAlign w:val="center"/>
          </w:tcPr>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000000"/>
              </w:rPr>
              <w:t>序号</w:t>
            </w:r>
          </w:p>
        </w:tc>
        <w:tc>
          <w:tcPr>
            <w:tcW w:w="3965" w:type="dxa"/>
            <w:vMerge w:val="restart"/>
            <w:tcBorders>
              <w:top w:val="single" w:color="auto" w:sz="8" w:space="0"/>
              <w:left w:val="single" w:color="auto" w:sz="0" w:space="0"/>
              <w:bottom w:val="single" w:color="auto" w:sz="8" w:space="0"/>
              <w:right w:val="single" w:color="auto" w:sz="8" w:space="0"/>
            </w:tcBorders>
            <w:vAlign w:val="center"/>
          </w:tcPr>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000000"/>
              </w:rPr>
              <w:t>工程名称</w:t>
            </w:r>
          </w:p>
        </w:tc>
        <w:tc>
          <w:tcPr>
            <w:tcW w:w="2520" w:type="dxa"/>
            <w:gridSpan w:val="2"/>
            <w:tcBorders>
              <w:top w:val="single" w:color="auto" w:sz="8" w:space="0"/>
              <w:left w:val="single" w:color="auto" w:sz="0" w:space="0"/>
              <w:bottom w:val="single" w:color="auto" w:sz="8" w:space="0"/>
              <w:right w:val="single" w:color="auto" w:sz="8" w:space="0"/>
            </w:tcBorders>
            <w:vAlign w:val="center"/>
          </w:tcPr>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000000"/>
              </w:rPr>
              <w:t>计费基础</w:t>
            </w:r>
          </w:p>
        </w:tc>
        <w:tc>
          <w:tcPr>
            <w:tcW w:w="1804" w:type="dxa"/>
            <w:vMerge w:val="restart"/>
            <w:tcBorders>
              <w:top w:val="single" w:color="auto" w:sz="8" w:space="0"/>
              <w:left w:val="single" w:color="auto" w:sz="0" w:space="0"/>
              <w:bottom w:val="single"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费率（%）</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1055" w:hRule="atLeast"/>
          <w:jc w:val="center"/>
        </w:trPr>
        <w:tc>
          <w:tcPr>
            <w:tcW w:w="726" w:type="dxa"/>
            <w:vMerge w:val="continue"/>
            <w:tcBorders>
              <w:top w:val="inset" w:color="auto" w:sz="8" w:space="0"/>
              <w:left w:val="inset" w:color="auto" w:sz="8" w:space="0"/>
              <w:bottom w:val="single" w:color="auto" w:sz="8" w:space="0"/>
              <w:right w:val="inset" w:color="auto" w:sz="8" w:space="0"/>
            </w:tcBorders>
            <w:vAlign w:val="center"/>
          </w:tcPr>
          <w:p>
            <w:pPr>
              <w:ind w:firstLine="0" w:firstLineChars="0"/>
              <w:rPr>
                <w:rFonts w:eastAsia="宋体"/>
                <w:color w:val="333333"/>
                <w:sz w:val="24"/>
              </w:rPr>
            </w:pPr>
          </w:p>
        </w:tc>
        <w:tc>
          <w:tcPr>
            <w:tcW w:w="3965" w:type="dxa"/>
            <w:vMerge w:val="continue"/>
            <w:tcBorders>
              <w:top w:val="single" w:color="auto" w:sz="8" w:space="0"/>
              <w:left w:val="single" w:color="auto" w:sz="0" w:space="0"/>
              <w:bottom w:val="single" w:color="auto" w:sz="8" w:space="0"/>
              <w:right w:val="single" w:color="auto" w:sz="8" w:space="0"/>
            </w:tcBorders>
            <w:vAlign w:val="center"/>
          </w:tcPr>
          <w:p>
            <w:pPr>
              <w:ind w:firstLine="0" w:firstLineChars="0"/>
              <w:rPr>
                <w:rFonts w:eastAsia="宋体"/>
                <w:color w:val="333333"/>
                <w:sz w:val="24"/>
              </w:rPr>
            </w:pPr>
          </w:p>
        </w:tc>
        <w:tc>
          <w:tcPr>
            <w:tcW w:w="1260" w:type="dxa"/>
            <w:tcBorders>
              <w:top w:val="single" w:color="auto" w:sz="0" w:space="0"/>
              <w:left w:val="single" w:color="auto" w:sz="0" w:space="0"/>
              <w:bottom w:val="single" w:color="auto" w:sz="8" w:space="0"/>
              <w:right w:val="single" w:color="auto" w:sz="8" w:space="0"/>
            </w:tcBorders>
            <w:vAlign w:val="center"/>
          </w:tcPr>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333333"/>
              </w:rPr>
              <w:t>一般</w:t>
            </w:r>
          </w:p>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333333"/>
              </w:rPr>
              <w:t>计税</w:t>
            </w:r>
          </w:p>
        </w:tc>
        <w:tc>
          <w:tcPr>
            <w:tcW w:w="1260" w:type="dxa"/>
            <w:tcBorders>
              <w:top w:val="single" w:color="auto" w:sz="0" w:space="0"/>
              <w:left w:val="single" w:color="auto" w:sz="0" w:space="0"/>
              <w:bottom w:val="single" w:color="auto" w:sz="8" w:space="0"/>
              <w:right w:val="single" w:color="auto" w:sz="8" w:space="0"/>
            </w:tcBorders>
            <w:vAlign w:val="center"/>
          </w:tcPr>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333333"/>
              </w:rPr>
              <w:t>简易</w:t>
            </w:r>
          </w:p>
          <w:p>
            <w:pPr>
              <w:pStyle w:val="20"/>
              <w:snapToGrid w:val="0"/>
              <w:spacing w:before="0" w:beforeAutospacing="0" w:after="0" w:afterAutospacing="0" w:line="440" w:lineRule="atLeast"/>
              <w:ind w:firstLine="0" w:firstLineChars="0"/>
              <w:jc w:val="center"/>
              <w:rPr>
                <w:rFonts w:ascii="Times New Roman" w:hAnsi="Times New Roman" w:cs="Times New Roman"/>
              </w:rPr>
            </w:pPr>
            <w:r>
              <w:rPr>
                <w:rFonts w:ascii="Times New Roman" w:hAnsi="Times New Roman" w:cs="Times New Roman"/>
                <w:color w:val="333333"/>
              </w:rPr>
              <w:t>计税</w:t>
            </w:r>
          </w:p>
        </w:tc>
        <w:tc>
          <w:tcPr>
            <w:tcW w:w="1804" w:type="dxa"/>
            <w:vMerge w:val="continue"/>
            <w:tcBorders>
              <w:top w:val="single" w:color="auto" w:sz="8" w:space="0"/>
              <w:left w:val="single" w:color="auto" w:sz="0" w:space="0"/>
              <w:bottom w:val="single" w:color="auto" w:sz="8" w:space="0"/>
              <w:right w:val="inset" w:color="auto" w:sz="8" w:space="0"/>
            </w:tcBorders>
            <w:vAlign w:val="center"/>
          </w:tcPr>
          <w:p>
            <w:pPr>
              <w:ind w:firstLine="0" w:firstLineChars="0"/>
              <w:rPr>
                <w:rFonts w:eastAsia="宋体"/>
                <w:color w:val="333333"/>
                <w:sz w:val="24"/>
              </w:rPr>
            </w:pP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一</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建筑工程</w:t>
            </w:r>
          </w:p>
        </w:tc>
        <w:tc>
          <w:tcPr>
            <w:tcW w:w="1260" w:type="dxa"/>
            <w:vMerge w:val="restart"/>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333333"/>
              </w:rPr>
              <w:t>分部分项工程费</w:t>
            </w:r>
          </w:p>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333333"/>
              </w:rPr>
              <w:t>+单价措施项目费-除税工程设备费</w:t>
            </w:r>
          </w:p>
        </w:tc>
        <w:tc>
          <w:tcPr>
            <w:tcW w:w="1260" w:type="dxa"/>
            <w:vMerge w:val="restart"/>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333333"/>
              </w:rPr>
              <w:t>分部分项工程费</w:t>
            </w:r>
          </w:p>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333333"/>
              </w:rPr>
              <w:t>+单价措施项目费-工程设备费</w:t>
            </w: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0.08~0.15</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二</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单独装饰工程、安装工程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0.04~0.08</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三</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市政工程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0.02~0.04</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四</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仿古建筑工程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333333"/>
              </w:rPr>
              <w:t>0.05~0.10</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五</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园林绿化工程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333333"/>
              </w:rPr>
              <w:t>0.02~0.04</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六</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修缮工程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0.05~0.10</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七</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城市轨道交通工程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0.01~0.02</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680" w:hRule="atLeast"/>
          <w:jc w:val="center"/>
        </w:trPr>
        <w:tc>
          <w:tcPr>
            <w:tcW w:w="726" w:type="dxa"/>
            <w:tcBorders>
              <w:top w:val="outset" w:color="auto" w:sz="6" w:space="0"/>
              <w:left w:val="outset" w:color="auto" w:sz="6" w:space="0"/>
              <w:bottom w:val="outset" w:color="auto" w:sz="6" w:space="0"/>
              <w:right w:val="outset" w:color="auto" w:sz="6"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八</w:t>
            </w:r>
          </w:p>
        </w:tc>
        <w:tc>
          <w:tcPr>
            <w:tcW w:w="3965" w:type="dxa"/>
            <w:tcBorders>
              <w:top w:val="single" w:color="auto" w:sz="0" w:space="0"/>
              <w:left w:val="single" w:color="auto" w:sz="0" w:space="0"/>
              <w:bottom w:val="inset" w:color="auto" w:sz="8" w:space="0"/>
              <w:right w:val="single"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大型土石方工程</w:t>
            </w:r>
          </w:p>
        </w:tc>
        <w:tc>
          <w:tcPr>
            <w:tcW w:w="1260" w:type="dxa"/>
            <w:vMerge w:val="continue"/>
            <w:tcBorders>
              <w:top w:val="single" w:color="auto" w:sz="0" w:space="0"/>
              <w:left w:val="single" w:color="auto" w:sz="0" w:space="0"/>
              <w:bottom w:val="inset" w:color="auto" w:sz="8" w:space="0"/>
              <w:right w:val="inset" w:color="auto" w:sz="8" w:space="0"/>
            </w:tcBorders>
            <w:vAlign w:val="center"/>
          </w:tcPr>
          <w:p>
            <w:pPr>
              <w:ind w:firstLine="0" w:firstLineChars="0"/>
              <w:rPr>
                <w:rFonts w:eastAsia="宋体"/>
                <w:color w:val="333333"/>
                <w:sz w:val="24"/>
              </w:rPr>
            </w:pPr>
          </w:p>
        </w:tc>
        <w:tc>
          <w:tcPr>
            <w:tcW w:w="1260" w:type="dxa"/>
            <w:vMerge w:val="continue"/>
            <w:tcBorders>
              <w:top w:val="single" w:color="auto" w:sz="0" w:space="0"/>
              <w:left w:val="single" w:color="auto" w:sz="0" w:space="0"/>
              <w:bottom w:val="inset" w:color="auto" w:sz="8" w:space="0"/>
              <w:right w:val="single" w:color="auto" w:sz="8" w:space="0"/>
            </w:tcBorders>
            <w:vAlign w:val="center"/>
          </w:tcPr>
          <w:p>
            <w:pPr>
              <w:ind w:firstLine="0" w:firstLineChars="0"/>
              <w:rPr>
                <w:rFonts w:eastAsia="宋体"/>
                <w:color w:val="333333"/>
                <w:sz w:val="24"/>
              </w:rPr>
            </w:pPr>
          </w:p>
        </w:tc>
        <w:tc>
          <w:tcPr>
            <w:tcW w:w="1804" w:type="dxa"/>
            <w:tcBorders>
              <w:top w:val="single" w:color="auto" w:sz="0" w:space="0"/>
              <w:left w:val="single" w:color="auto" w:sz="0" w:space="0"/>
              <w:bottom w:val="inset" w:color="auto" w:sz="8" w:space="0"/>
              <w:right w:val="inset" w:color="auto" w:sz="8" w:space="0"/>
            </w:tcBorders>
            <w:vAlign w:val="center"/>
          </w:tcPr>
          <w:p>
            <w:pPr>
              <w:pStyle w:val="20"/>
              <w:snapToGrid w:val="0"/>
              <w:spacing w:before="0" w:beforeAutospacing="0" w:after="0" w:afterAutospacing="0" w:line="360" w:lineRule="atLeast"/>
              <w:ind w:firstLine="0" w:firstLineChars="0"/>
              <w:jc w:val="center"/>
              <w:rPr>
                <w:rFonts w:ascii="Times New Roman" w:hAnsi="Times New Roman" w:cs="Times New Roman"/>
              </w:rPr>
            </w:pPr>
            <w:r>
              <w:rPr>
                <w:rFonts w:ascii="Times New Roman" w:hAnsi="Times New Roman" w:cs="Times New Roman"/>
                <w:color w:val="000000"/>
              </w:rPr>
              <w:t>0.02~0.04</w:t>
            </w:r>
          </w:p>
        </w:tc>
      </w:tr>
    </w:tbl>
    <w:p>
      <w:pPr>
        <w:pStyle w:val="20"/>
        <w:spacing w:before="0" w:beforeAutospacing="0" w:after="0" w:afterAutospacing="0" w:line="500" w:lineRule="exact"/>
        <w:ind w:right="119" w:firstLine="240" w:firstLineChars="100"/>
        <w:jc w:val="both"/>
        <w:rPr>
          <w:rFonts w:cs="Times New Roman"/>
        </w:rPr>
      </w:pPr>
      <w:r>
        <w:rPr>
          <w:rFonts w:hint="eastAsia" w:cs="方正仿宋_GBK"/>
          <w:color w:val="333333"/>
          <w:shd w:val="clear" w:color="auto" w:fill="FFFFFF"/>
        </w:rPr>
        <w:t>注：</w:t>
      </w:r>
      <w:r>
        <w:rPr>
          <w:rFonts w:cs="Times New Roman"/>
          <w:color w:val="333333"/>
          <w:shd w:val="clear" w:color="auto" w:fill="FFFFFF"/>
        </w:rPr>
        <w:t>1.</w:t>
      </w:r>
      <w:r>
        <w:rPr>
          <w:rFonts w:hint="eastAsia" w:cs="方正仿宋_GBK"/>
          <w:color w:val="333333"/>
          <w:shd w:val="clear" w:color="auto" w:fill="FFFFFF"/>
        </w:rPr>
        <w:t>装配式混凝土房屋建筑工程按建筑工程标准计取；</w:t>
      </w:r>
    </w:p>
    <w:p>
      <w:pPr>
        <w:pStyle w:val="20"/>
        <w:spacing w:before="0" w:beforeAutospacing="0" w:after="0" w:afterAutospacing="0" w:line="500" w:lineRule="exact"/>
        <w:ind w:right="119" w:firstLine="720" w:firstLineChars="300"/>
        <w:jc w:val="both"/>
        <w:rPr>
          <w:rFonts w:cs="方正仿宋_GBK"/>
          <w:color w:val="333333"/>
          <w:shd w:val="clear" w:color="auto" w:fill="FFFFFF"/>
        </w:rPr>
      </w:pPr>
      <w:r>
        <w:rPr>
          <w:rFonts w:cs="Times New Roman"/>
          <w:color w:val="333333"/>
          <w:shd w:val="clear" w:color="auto" w:fill="FFFFFF"/>
        </w:rPr>
        <w:t>2.</w:t>
      </w:r>
      <w:r>
        <w:rPr>
          <w:rFonts w:hint="eastAsia" w:cs="方正仿宋_GBK"/>
          <w:color w:val="333333"/>
          <w:shd w:val="clear" w:color="auto" w:fill="FFFFFF"/>
        </w:rPr>
        <w:t>以上费用不包含高大支模监控和基坑监控。</w:t>
      </w:r>
    </w:p>
    <w:p>
      <w:pPr>
        <w:ind w:firstLine="560"/>
        <w:rPr>
          <w:rFonts w:cs="方正仿宋_GBK"/>
          <w:color w:val="333333"/>
          <w:shd w:val="clear" w:color="auto" w:fill="FFFFFF"/>
        </w:rPr>
      </w:pPr>
      <w:r>
        <w:rPr>
          <w:rFonts w:hint="eastAsia" w:cs="方正仿宋_GBK"/>
          <w:color w:val="333333"/>
          <w:shd w:val="clear" w:color="auto" w:fill="FFFFFF"/>
        </w:rPr>
        <w:br w:type="page"/>
      </w:r>
    </w:p>
    <w:p>
      <w:pPr>
        <w:pStyle w:val="3"/>
      </w:pPr>
      <w:r>
        <w:drawing>
          <wp:anchor distT="0" distB="0" distL="114300" distR="114300" simplePos="0" relativeHeight="251704320" behindDoc="0" locked="0" layoutInCell="1" allowOverlap="1">
            <wp:simplePos x="0" y="0"/>
            <wp:positionH relativeFrom="column">
              <wp:posOffset>-149225</wp:posOffset>
            </wp:positionH>
            <wp:positionV relativeFrom="paragraph">
              <wp:posOffset>19050</wp:posOffset>
            </wp:positionV>
            <wp:extent cx="5811520" cy="8241665"/>
            <wp:effectExtent l="0" t="0" r="17780" b="6985"/>
            <wp:wrapNone/>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126"/>
                    <a:srcRect l="8333" t="10789" r="9205" b="6488"/>
                    <a:stretch>
                      <a:fillRect/>
                    </a:stretch>
                  </pic:blipFill>
                  <pic:spPr>
                    <a:xfrm>
                      <a:off x="0" y="0"/>
                      <a:ext cx="5811520" cy="8241665"/>
                    </a:xfrm>
                    <a:prstGeom prst="rect">
                      <a:avLst/>
                    </a:prstGeom>
                    <a:noFill/>
                    <a:ln>
                      <a:noFill/>
                    </a:ln>
                  </pic:spPr>
                </pic:pic>
              </a:graphicData>
            </a:graphic>
          </wp:anchor>
        </w:drawing>
      </w:r>
    </w:p>
    <w:p>
      <w:pPr>
        <w:pStyle w:val="3"/>
      </w:pPr>
      <w:bookmarkStart w:id="1672" w:name="_Toc30492"/>
      <w:bookmarkStart w:id="1673" w:name="_Toc2776"/>
      <w:r>
        <w:rPr>
          <w:rFonts w:hint="eastAsia"/>
        </w:rPr>
        <w:t>省住房和城乡建设厅关于印发《江苏省房屋</w:t>
      </w:r>
      <w:bookmarkEnd w:id="1672"/>
      <w:bookmarkEnd w:id="1673"/>
    </w:p>
    <w:p>
      <w:pPr>
        <w:pStyle w:val="3"/>
      </w:pPr>
      <w:bookmarkStart w:id="1674" w:name="_Toc32250"/>
      <w:bookmarkStart w:id="1675" w:name="_Toc31311"/>
      <w:r>
        <w:rPr>
          <w:rFonts w:hint="eastAsia"/>
        </w:rPr>
        <w:t>建筑与市政基础设施工程施工过程结算</w:t>
      </w:r>
      <w:bookmarkEnd w:id="1674"/>
      <w:bookmarkEnd w:id="1675"/>
    </w:p>
    <w:p>
      <w:pPr>
        <w:pStyle w:val="3"/>
      </w:pPr>
      <w:bookmarkStart w:id="1676" w:name="_Toc29098"/>
      <w:bookmarkStart w:id="1677" w:name="_Toc15072"/>
      <w:r>
        <w:rPr>
          <w:rFonts w:hint="eastAsia"/>
        </w:rPr>
        <w:t>实施技术指南（试行）</w:t>
      </w:r>
      <w:bookmarkEnd w:id="1676"/>
      <w:bookmarkEnd w:id="1677"/>
    </w:p>
    <w:p>
      <w:pPr>
        <w:pStyle w:val="3"/>
      </w:pPr>
    </w:p>
    <w:p>
      <w:pPr>
        <w:spacing w:line="720" w:lineRule="auto"/>
        <w:ind w:left="-160" w:leftChars="-57" w:firstLine="0" w:firstLineChars="0"/>
        <w:jc w:val="center"/>
      </w:pPr>
      <w:r>
        <w:br w:type="page"/>
      </w:r>
    </w:p>
    <w:p>
      <w:pPr>
        <w:spacing w:line="720" w:lineRule="auto"/>
        <w:ind w:firstLine="0" w:firstLineChars="0"/>
        <w:jc w:val="center"/>
      </w:pPr>
      <w:r>
        <w:drawing>
          <wp:inline distT="0" distB="0" distL="114300" distR="114300">
            <wp:extent cx="5425440" cy="7806055"/>
            <wp:effectExtent l="0" t="0" r="3810" b="444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27"/>
                    <a:srcRect l="12602" t="11438" r="8435" b="8194"/>
                    <a:stretch>
                      <a:fillRect/>
                    </a:stretch>
                  </pic:blipFill>
                  <pic:spPr>
                    <a:xfrm>
                      <a:off x="0" y="0"/>
                      <a:ext cx="5425440" cy="7806055"/>
                    </a:xfrm>
                    <a:prstGeom prst="rect">
                      <a:avLst/>
                    </a:prstGeom>
                    <a:noFill/>
                    <a:ln>
                      <a:noFill/>
                    </a:ln>
                  </pic:spPr>
                </pic:pic>
              </a:graphicData>
            </a:graphic>
          </wp:inline>
        </w:drawing>
      </w:r>
    </w:p>
    <w:p>
      <w:pPr>
        <w:ind w:firstLine="560"/>
      </w:pPr>
      <w:r>
        <w:br w:type="page"/>
      </w:r>
    </w:p>
    <w:p>
      <w:pPr>
        <w:spacing w:line="720" w:lineRule="auto"/>
        <w:ind w:firstLine="0" w:firstLineChars="0"/>
        <w:jc w:val="center"/>
      </w:pPr>
      <w:r>
        <w:drawing>
          <wp:inline distT="0" distB="0" distL="114300" distR="114300">
            <wp:extent cx="5318125" cy="8037830"/>
            <wp:effectExtent l="0" t="0" r="15875" b="127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128"/>
                    <a:srcRect l="11085" t="8586" r="10360" b="7441"/>
                    <a:stretch>
                      <a:fillRect/>
                    </a:stretch>
                  </pic:blipFill>
                  <pic:spPr>
                    <a:xfrm>
                      <a:off x="0" y="0"/>
                      <a:ext cx="5318125" cy="8037830"/>
                    </a:xfrm>
                    <a:prstGeom prst="rect">
                      <a:avLst/>
                    </a:prstGeom>
                    <a:noFill/>
                    <a:ln>
                      <a:noFill/>
                    </a:ln>
                  </pic:spPr>
                </pic:pic>
              </a:graphicData>
            </a:graphic>
          </wp:inline>
        </w:drawing>
      </w:r>
    </w:p>
    <w:p>
      <w:pPr>
        <w:ind w:firstLine="560"/>
      </w:pPr>
    </w:p>
    <w:p>
      <w:pPr>
        <w:spacing w:line="720" w:lineRule="auto"/>
        <w:ind w:firstLine="0" w:firstLineChars="0"/>
        <w:jc w:val="center"/>
      </w:pPr>
      <w:r>
        <w:drawing>
          <wp:inline distT="0" distB="0" distL="114300" distR="114300">
            <wp:extent cx="5278755" cy="7668895"/>
            <wp:effectExtent l="0" t="0" r="17145" b="8255"/>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129"/>
                    <a:srcRect l="13915" t="12703" r="8650" b="7713"/>
                    <a:stretch>
                      <a:fillRect/>
                    </a:stretch>
                  </pic:blipFill>
                  <pic:spPr>
                    <a:xfrm>
                      <a:off x="0" y="0"/>
                      <a:ext cx="5278755" cy="7668895"/>
                    </a:xfrm>
                    <a:prstGeom prst="rect">
                      <a:avLst/>
                    </a:prstGeom>
                    <a:noFill/>
                    <a:ln>
                      <a:noFill/>
                    </a:ln>
                  </pic:spPr>
                </pic:pic>
              </a:graphicData>
            </a:graphic>
          </wp:inline>
        </w:drawing>
      </w:r>
      <w:r>
        <w:br w:type="page"/>
      </w:r>
    </w:p>
    <w:p>
      <w:pPr>
        <w:spacing w:line="720" w:lineRule="auto"/>
        <w:ind w:firstLine="0" w:firstLineChars="0"/>
        <w:jc w:val="center"/>
      </w:pPr>
      <w:r>
        <w:drawing>
          <wp:inline distT="0" distB="0" distL="114300" distR="114300">
            <wp:extent cx="5564505" cy="7992745"/>
            <wp:effectExtent l="0" t="0" r="17145" b="8255"/>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30"/>
                    <a:srcRect l="10066" t="12703" r="10236" b="6312"/>
                    <a:stretch>
                      <a:fillRect/>
                    </a:stretch>
                  </pic:blipFill>
                  <pic:spPr>
                    <a:xfrm>
                      <a:off x="0" y="0"/>
                      <a:ext cx="5564505" cy="7992745"/>
                    </a:xfrm>
                    <a:prstGeom prst="rect">
                      <a:avLst/>
                    </a:prstGeom>
                    <a:noFill/>
                    <a:ln>
                      <a:noFill/>
                    </a:ln>
                  </pic:spPr>
                </pic:pic>
              </a:graphicData>
            </a:graphic>
          </wp:inline>
        </w:drawing>
      </w:r>
    </w:p>
    <w:p>
      <w:pPr>
        <w:ind w:firstLine="0" w:firstLineChars="0"/>
      </w:pPr>
    </w:p>
    <w:p>
      <w:pPr>
        <w:spacing w:line="720" w:lineRule="auto"/>
        <w:ind w:firstLine="0" w:firstLineChars="0"/>
        <w:jc w:val="center"/>
      </w:pPr>
      <w:r>
        <w:drawing>
          <wp:inline distT="0" distB="0" distL="114300" distR="114300">
            <wp:extent cx="5383530" cy="7756525"/>
            <wp:effectExtent l="0" t="0" r="7620" b="15875"/>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131"/>
                    <a:srcRect l="12726" t="12903" r="9386" b="7713"/>
                    <a:stretch>
                      <a:fillRect/>
                    </a:stretch>
                  </pic:blipFill>
                  <pic:spPr>
                    <a:xfrm>
                      <a:off x="0" y="0"/>
                      <a:ext cx="5383530" cy="7756525"/>
                    </a:xfrm>
                    <a:prstGeom prst="rect">
                      <a:avLst/>
                    </a:prstGeom>
                    <a:noFill/>
                    <a:ln>
                      <a:noFill/>
                    </a:ln>
                  </pic:spPr>
                </pic:pic>
              </a:graphicData>
            </a:graphic>
          </wp:inline>
        </w:drawing>
      </w:r>
      <w:r>
        <w:br w:type="page"/>
      </w:r>
    </w:p>
    <w:p>
      <w:pPr>
        <w:spacing w:line="720" w:lineRule="auto"/>
        <w:ind w:firstLine="0" w:firstLineChars="0"/>
        <w:jc w:val="center"/>
      </w:pPr>
      <w:r>
        <w:drawing>
          <wp:inline distT="0" distB="0" distL="114300" distR="114300">
            <wp:extent cx="5342255" cy="7580630"/>
            <wp:effectExtent l="0" t="0" r="10795" b="127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132"/>
                    <a:srcRect l="10519" t="12920" r="9783" b="7080"/>
                    <a:stretch>
                      <a:fillRect/>
                    </a:stretch>
                  </pic:blipFill>
                  <pic:spPr>
                    <a:xfrm>
                      <a:off x="0" y="0"/>
                      <a:ext cx="5342255" cy="7580630"/>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303520" cy="7722870"/>
            <wp:effectExtent l="0" t="0" r="11430" b="11430"/>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133"/>
                    <a:srcRect l="12896" t="12519" r="9047" b="7080"/>
                    <a:stretch>
                      <a:fillRect/>
                    </a:stretch>
                  </pic:blipFill>
                  <pic:spPr>
                    <a:xfrm>
                      <a:off x="0" y="0"/>
                      <a:ext cx="5303520" cy="7722870"/>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336540" cy="7723505"/>
            <wp:effectExtent l="0" t="0" r="16510" b="10795"/>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134"/>
                    <a:srcRect l="10462" t="12920" r="11594" b="7281"/>
                    <a:stretch>
                      <a:fillRect/>
                    </a:stretch>
                  </pic:blipFill>
                  <pic:spPr>
                    <a:xfrm>
                      <a:off x="0" y="0"/>
                      <a:ext cx="5336540" cy="7723505"/>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452745" cy="7803515"/>
            <wp:effectExtent l="0" t="0" r="14605" b="6985"/>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135"/>
                    <a:srcRect l="12500" t="12735" r="10236" b="9051"/>
                    <a:stretch>
                      <a:fillRect/>
                    </a:stretch>
                  </pic:blipFill>
                  <pic:spPr>
                    <a:xfrm>
                      <a:off x="0" y="0"/>
                      <a:ext cx="5452745" cy="7803515"/>
                    </a:xfrm>
                    <a:prstGeom prst="rect">
                      <a:avLst/>
                    </a:prstGeom>
                    <a:noFill/>
                    <a:ln>
                      <a:noFill/>
                    </a:ln>
                  </pic:spPr>
                </pic:pic>
              </a:graphicData>
            </a:graphic>
          </wp:inline>
        </w:drawing>
      </w:r>
      <w:r>
        <w:br w:type="page"/>
      </w:r>
    </w:p>
    <w:p>
      <w:pPr>
        <w:spacing w:line="720" w:lineRule="auto"/>
        <w:ind w:firstLine="0" w:firstLineChars="0"/>
        <w:jc w:val="center"/>
      </w:pPr>
      <w:r>
        <w:drawing>
          <wp:inline distT="0" distB="0" distL="114300" distR="114300">
            <wp:extent cx="5452110" cy="7740015"/>
            <wp:effectExtent l="0" t="0" r="15240" b="13335"/>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pic:cNvPicPr>
                  </pic:nvPicPr>
                  <pic:blipFill>
                    <a:blip r:embed="rId136"/>
                    <a:srcRect l="10349" t="12535" r="10971" b="8450"/>
                    <a:stretch>
                      <a:fillRect/>
                    </a:stretch>
                  </pic:blipFill>
                  <pic:spPr>
                    <a:xfrm>
                      <a:off x="0" y="0"/>
                      <a:ext cx="5452110" cy="7740015"/>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391785" cy="7548880"/>
            <wp:effectExtent l="0" t="0" r="18415" b="13970"/>
            <wp:docPr id="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pic:cNvPicPr>
                      <a:picLocks noChangeAspect="1"/>
                    </pic:cNvPicPr>
                  </pic:nvPicPr>
                  <pic:blipFill>
                    <a:blip r:embed="rId137"/>
                    <a:srcRect l="11028" t="12735" r="9386" b="8450"/>
                    <a:stretch>
                      <a:fillRect/>
                    </a:stretch>
                  </pic:blipFill>
                  <pic:spPr>
                    <a:xfrm>
                      <a:off x="0" y="0"/>
                      <a:ext cx="5391785" cy="7548880"/>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509895" cy="7436485"/>
            <wp:effectExtent l="0" t="0" r="14605" b="1206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138"/>
                    <a:srcRect l="9386" t="15314" r="9556" b="7297"/>
                    <a:stretch>
                      <a:fillRect/>
                    </a:stretch>
                  </pic:blipFill>
                  <pic:spPr>
                    <a:xfrm>
                      <a:off x="0" y="0"/>
                      <a:ext cx="5509895" cy="7436485"/>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332095" cy="7548245"/>
            <wp:effectExtent l="0" t="0" r="1905" b="14605"/>
            <wp:docPr id="7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5"/>
                    <pic:cNvPicPr>
                      <a:picLocks noChangeAspect="1"/>
                    </pic:cNvPicPr>
                  </pic:nvPicPr>
                  <pic:blipFill>
                    <a:blip r:embed="rId139"/>
                    <a:srcRect l="12047" t="12911" r="9273" b="8298"/>
                    <a:stretch>
                      <a:fillRect/>
                    </a:stretch>
                  </pic:blipFill>
                  <pic:spPr>
                    <a:xfrm>
                      <a:off x="0" y="0"/>
                      <a:ext cx="5332095" cy="7548245"/>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pPr>
      <w:r>
        <w:drawing>
          <wp:inline distT="0" distB="0" distL="114300" distR="114300">
            <wp:extent cx="5436235" cy="7785735"/>
            <wp:effectExtent l="0" t="0" r="12065" b="5715"/>
            <wp:docPr id="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6"/>
                    <pic:cNvPicPr>
                      <a:picLocks noChangeAspect="1"/>
                    </pic:cNvPicPr>
                  </pic:nvPicPr>
                  <pic:blipFill>
                    <a:blip r:embed="rId140"/>
                    <a:srcRect l="11028" t="13312" r="10802" b="7497"/>
                    <a:stretch>
                      <a:fillRect/>
                    </a:stretch>
                  </pic:blipFill>
                  <pic:spPr>
                    <a:xfrm>
                      <a:off x="0" y="0"/>
                      <a:ext cx="5436235" cy="7785735"/>
                    </a:xfrm>
                    <a:prstGeom prst="rect">
                      <a:avLst/>
                    </a:prstGeom>
                    <a:noFill/>
                    <a:ln>
                      <a:noFill/>
                    </a:ln>
                  </pic:spPr>
                </pic:pic>
              </a:graphicData>
            </a:graphic>
          </wp:inline>
        </w:drawing>
      </w:r>
      <w:r>
        <w:br w:type="page"/>
      </w:r>
    </w:p>
    <w:p>
      <w:pPr>
        <w:spacing w:line="720" w:lineRule="auto"/>
        <w:ind w:firstLine="0" w:firstLineChars="0"/>
        <w:jc w:val="center"/>
      </w:pPr>
      <w:r>
        <w:drawing>
          <wp:inline distT="0" distB="0" distL="114300" distR="114300">
            <wp:extent cx="5662295" cy="8256905"/>
            <wp:effectExtent l="0" t="0" r="14605" b="10795"/>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141"/>
                    <a:srcRect l="13632" t="13248" r="11594" b="9628"/>
                    <a:stretch>
                      <a:fillRect/>
                    </a:stretch>
                  </pic:blipFill>
                  <pic:spPr>
                    <a:xfrm>
                      <a:off x="0" y="0"/>
                      <a:ext cx="5662295" cy="8256905"/>
                    </a:xfrm>
                    <a:prstGeom prst="rect">
                      <a:avLst/>
                    </a:prstGeom>
                    <a:noFill/>
                    <a:ln>
                      <a:noFill/>
                    </a:ln>
                  </pic:spPr>
                </pic:pic>
              </a:graphicData>
            </a:graphic>
          </wp:inline>
        </w:drawing>
      </w:r>
      <w:r>
        <w:br w:type="page"/>
      </w:r>
    </w:p>
    <w:p>
      <w:pPr>
        <w:spacing w:line="720" w:lineRule="auto"/>
        <w:ind w:firstLine="0" w:firstLineChars="0"/>
        <w:jc w:val="center"/>
      </w:pPr>
      <w:r>
        <w:drawing>
          <wp:inline distT="0" distB="0" distL="114300" distR="114300">
            <wp:extent cx="5667375" cy="7587615"/>
            <wp:effectExtent l="0" t="0" r="9525" b="13335"/>
            <wp:docPr id="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
                    <pic:cNvPicPr>
                      <a:picLocks noChangeAspect="1"/>
                    </pic:cNvPicPr>
                  </pic:nvPicPr>
                  <pic:blipFill>
                    <a:blip r:embed="rId142"/>
                    <a:srcRect l="11198" t="13408" r="5084" b="7305"/>
                    <a:stretch>
                      <a:fillRect/>
                    </a:stretch>
                  </pic:blipFill>
                  <pic:spPr>
                    <a:xfrm>
                      <a:off x="0" y="0"/>
                      <a:ext cx="5667375" cy="7587615"/>
                    </a:xfrm>
                    <a:prstGeom prst="rect">
                      <a:avLst/>
                    </a:prstGeom>
                    <a:noFill/>
                    <a:ln>
                      <a:noFill/>
                    </a:ln>
                  </pic:spPr>
                </pic:pic>
              </a:graphicData>
            </a:graphic>
          </wp:inline>
        </w:drawing>
      </w:r>
    </w:p>
    <w:p>
      <w:pPr>
        <w:ind w:firstLine="0" w:firstLineChars="0"/>
      </w:pPr>
      <w:r>
        <w:br w:type="page"/>
      </w:r>
    </w:p>
    <w:p>
      <w:pPr>
        <w:spacing w:line="720" w:lineRule="auto"/>
        <w:ind w:firstLine="0" w:firstLineChars="0"/>
        <w:jc w:val="center"/>
        <w:sectPr>
          <w:headerReference r:id="rId18" w:type="first"/>
          <w:footerReference r:id="rId21" w:type="first"/>
          <w:headerReference r:id="rId16" w:type="default"/>
          <w:footerReference r:id="rId19" w:type="default"/>
          <w:headerReference r:id="rId17" w:type="even"/>
          <w:footerReference r:id="rId20" w:type="even"/>
          <w:pgSz w:w="12240" w:h="15840"/>
          <w:pgMar w:top="1440" w:right="1800" w:bottom="1440" w:left="1800" w:header="720" w:footer="720" w:gutter="0"/>
          <w:pgNumType w:fmt="decimal"/>
          <w:cols w:space="720" w:num="1"/>
        </w:sectPr>
      </w:pPr>
      <w:r>
        <w:drawing>
          <wp:inline distT="0" distB="0" distL="114300" distR="114300">
            <wp:extent cx="5117465" cy="7999730"/>
            <wp:effectExtent l="0" t="0" r="6985" b="1270"/>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143"/>
                    <a:srcRect l="11311" t="6199" r="11368" b="8306"/>
                    <a:stretch>
                      <a:fillRect/>
                    </a:stretch>
                  </pic:blipFill>
                  <pic:spPr>
                    <a:xfrm>
                      <a:off x="0" y="0"/>
                      <a:ext cx="5117465" cy="7999730"/>
                    </a:xfrm>
                    <a:prstGeom prst="rect">
                      <a:avLst/>
                    </a:prstGeom>
                    <a:noFill/>
                    <a:ln>
                      <a:noFill/>
                    </a:ln>
                  </pic:spPr>
                </pic:pic>
              </a:graphicData>
            </a:graphic>
          </wp:inline>
        </w:drawing>
      </w:r>
    </w:p>
    <w:p>
      <w:pPr>
        <w:spacing w:line="720" w:lineRule="auto"/>
        <w:ind w:firstLine="0" w:firstLineChars="0"/>
        <w:jc w:val="center"/>
      </w:pPr>
      <w:bookmarkStart w:id="1678" w:name="_Toc23880"/>
    </w:p>
    <w:p>
      <w:pPr>
        <w:spacing w:line="720" w:lineRule="auto"/>
        <w:ind w:firstLine="1120"/>
        <w:jc w:val="center"/>
        <w:rPr>
          <w:sz w:val="56"/>
          <w:szCs w:val="56"/>
        </w:rPr>
      </w:pPr>
    </w:p>
    <w:p>
      <w:pPr>
        <w:pStyle w:val="2"/>
        <w:numPr>
          <w:ilvl w:val="0"/>
          <w:numId w:val="0"/>
        </w:numPr>
        <w:rPr>
          <w:sz w:val="56"/>
          <w:szCs w:val="56"/>
        </w:rPr>
      </w:pPr>
    </w:p>
    <w:p>
      <w:pPr>
        <w:pStyle w:val="2"/>
        <w:numPr>
          <w:ilvl w:val="0"/>
          <w:numId w:val="0"/>
        </w:numPr>
        <w:rPr>
          <w:sz w:val="56"/>
          <w:szCs w:val="56"/>
        </w:rPr>
      </w:pPr>
    </w:p>
    <w:p>
      <w:pPr>
        <w:pStyle w:val="2"/>
        <w:numPr>
          <w:ilvl w:val="0"/>
          <w:numId w:val="0"/>
        </w:numPr>
        <w:rPr>
          <w:rFonts w:ascii="方正黑体_GBK" w:hAnsi="方正黑体_GBK" w:eastAsia="方正黑体_GBK" w:cs="方正黑体_GBK"/>
          <w:sz w:val="56"/>
          <w:szCs w:val="56"/>
        </w:rPr>
      </w:pPr>
    </w:p>
    <w:p>
      <w:pPr>
        <w:pStyle w:val="2"/>
        <w:numPr>
          <w:ilvl w:val="0"/>
          <w:numId w:val="0"/>
        </w:numPr>
        <w:spacing w:line="240" w:lineRule="auto"/>
      </w:pPr>
    </w:p>
    <w:p>
      <w:pPr>
        <w:pStyle w:val="6"/>
        <w:bidi w:val="0"/>
      </w:pPr>
      <w:bookmarkStart w:id="1679" w:name="_Toc31708"/>
      <w:bookmarkStart w:id="1680" w:name="_Toc31789"/>
      <w:bookmarkStart w:id="1681" w:name="_Toc19145"/>
      <w:bookmarkStart w:id="1682" w:name="_Toc10801"/>
      <w:bookmarkStart w:id="1683" w:name="_Toc13947"/>
      <w:bookmarkStart w:id="1684" w:name="_Toc14165"/>
      <w:bookmarkStart w:id="1685" w:name="_Toc16074"/>
      <w:bookmarkStart w:id="1686" w:name="_Toc19375"/>
      <w:bookmarkStart w:id="1687" w:name="_Toc18782"/>
      <w:bookmarkStart w:id="1688" w:name="_Toc13810"/>
      <w:bookmarkStart w:id="1689" w:name="_Toc10421"/>
      <w:bookmarkStart w:id="1690" w:name="_Toc6893"/>
      <w:r>
        <w:rPr>
          <w:rFonts w:hint="eastAsia"/>
        </w:rPr>
        <w:t>二</w:t>
      </w:r>
      <w:r>
        <w:t>、</w:t>
      </w:r>
      <w:r>
        <w:rPr>
          <w:rFonts w:hint="eastAsia"/>
        </w:rPr>
        <w:t>苏州市工程造价管理处</w:t>
      </w:r>
      <w:bookmarkEnd w:id="1679"/>
    </w:p>
    <w:p>
      <w:pPr>
        <w:pStyle w:val="6"/>
        <w:bidi w:val="0"/>
      </w:pPr>
      <w:bookmarkStart w:id="1691" w:name="_Toc17713"/>
      <w:r>
        <w:t>相关文件</w:t>
      </w:r>
      <w:bookmarkEnd w:id="1678"/>
      <w:bookmarkEnd w:id="1680"/>
      <w:bookmarkEnd w:id="1681"/>
      <w:bookmarkEnd w:id="1682"/>
      <w:bookmarkEnd w:id="1683"/>
      <w:bookmarkEnd w:id="1684"/>
      <w:bookmarkEnd w:id="1685"/>
      <w:bookmarkEnd w:id="1686"/>
      <w:bookmarkEnd w:id="1687"/>
      <w:bookmarkEnd w:id="1688"/>
      <w:bookmarkEnd w:id="1689"/>
      <w:bookmarkEnd w:id="1690"/>
      <w:bookmarkEnd w:id="1691"/>
    </w:p>
    <w:p>
      <w:pPr>
        <w:ind w:firstLine="1120"/>
        <w:rPr>
          <w:rFonts w:eastAsia="方正黑体_GBK"/>
          <w:sz w:val="56"/>
          <w:szCs w:val="56"/>
        </w:rPr>
        <w:sectPr>
          <w:footerReference r:id="rId22" w:type="default"/>
          <w:pgSz w:w="12240" w:h="15840"/>
          <w:pgMar w:top="1440" w:right="1800" w:bottom="1440" w:left="1800" w:header="720" w:footer="720" w:gutter="0"/>
          <w:pgNumType w:fmt="decimal"/>
          <w:cols w:space="720" w:num="1"/>
        </w:sectPr>
      </w:pPr>
      <w:r>
        <w:rPr>
          <w:rFonts w:eastAsia="方正黑体_GBK"/>
          <w:sz w:val="56"/>
          <w:szCs w:val="56"/>
        </w:rPr>
        <w:br w:type="page"/>
      </w:r>
    </w:p>
    <w:p>
      <w:pPr>
        <w:ind w:firstLine="560"/>
      </w:pPr>
    </w:p>
    <w:p>
      <w:pPr>
        <w:pStyle w:val="5"/>
      </w:pPr>
      <w:bookmarkStart w:id="1692" w:name="_Toc12092"/>
      <w:bookmarkStart w:id="1693" w:name="_Toc30408"/>
      <w:bookmarkStart w:id="1694" w:name="_Toc10060"/>
      <w:bookmarkStart w:id="1695" w:name="_Toc26632"/>
      <w:bookmarkStart w:id="1696" w:name="_Toc7590"/>
      <w:bookmarkStart w:id="1697" w:name="_Toc1262"/>
      <w:bookmarkStart w:id="1698" w:name="_Toc7385"/>
      <w:r>
        <w:rPr>
          <w:rFonts w:hint="eastAsia"/>
        </w:rPr>
        <w:t>苏州市工程造价管理处文件</w:t>
      </w:r>
      <w:bookmarkEnd w:id="1692"/>
      <w:bookmarkEnd w:id="1693"/>
      <w:bookmarkEnd w:id="1694"/>
      <w:bookmarkEnd w:id="1695"/>
      <w:bookmarkEnd w:id="1696"/>
      <w:bookmarkEnd w:id="1697"/>
      <w:bookmarkEnd w:id="1698"/>
    </w:p>
    <w:p>
      <w:pPr>
        <w:ind w:firstLine="560"/>
      </w:pPr>
    </w:p>
    <w:p>
      <w:pPr>
        <w:pStyle w:val="4"/>
      </w:pPr>
      <w:bookmarkStart w:id="1699" w:name="_Toc12411"/>
      <w:bookmarkStart w:id="1700" w:name="_Toc18671"/>
      <w:bookmarkStart w:id="1701" w:name="_Toc10854"/>
      <w:bookmarkStart w:id="1702" w:name="_Toc7710"/>
      <w:bookmarkStart w:id="1703" w:name="_Toc15520"/>
      <w:bookmarkStart w:id="1704" w:name="_Toc23944"/>
      <w:bookmarkStart w:id="1705" w:name="_Toc24542"/>
      <w:bookmarkStart w:id="1706" w:name="_Toc10808"/>
      <w:bookmarkStart w:id="1707" w:name="_Toc6077"/>
      <w:bookmarkStart w:id="1708" w:name="_Toc6530"/>
      <w:bookmarkStart w:id="1709" w:name="_Toc26338"/>
      <w:r>
        <w:rPr>
          <w:rFonts w:hint="eastAsia"/>
        </w:rPr>
        <w:t>苏工价〔2010〕10号</w:t>
      </w:r>
      <w:bookmarkEnd w:id="1699"/>
      <w:bookmarkEnd w:id="1700"/>
      <w:bookmarkEnd w:id="1701"/>
      <w:bookmarkEnd w:id="1702"/>
      <w:bookmarkEnd w:id="1703"/>
      <w:bookmarkEnd w:id="1704"/>
      <w:bookmarkEnd w:id="1705"/>
      <w:bookmarkEnd w:id="1706"/>
      <w:bookmarkEnd w:id="1707"/>
      <w:bookmarkEnd w:id="1708"/>
      <w:bookmarkEnd w:id="1709"/>
    </w:p>
    <w:p>
      <w:pPr>
        <w:ind w:firstLine="560"/>
      </w:pPr>
    </w:p>
    <w:p>
      <w:pPr>
        <w:ind w:firstLine="640"/>
        <w:jc w:val="center"/>
        <w:rPr>
          <w:rFonts w:ascii="黑体" w:eastAsia="黑体"/>
          <w:color w:val="FF0000"/>
          <w:sz w:val="32"/>
        </w:rPr>
      </w:pPr>
      <w:r>
        <w:rPr>
          <w:rFonts w:ascii="黑体" w:eastAsia="黑体"/>
          <w:color w:val="FF0000"/>
          <w:sz w:val="32"/>
        </w:rPr>
        <mc:AlternateContent>
          <mc:Choice Requires="wps">
            <w:drawing>
              <wp:anchor distT="0" distB="0" distL="114300" distR="114300" simplePos="0" relativeHeight="251691008" behindDoc="0" locked="0" layoutInCell="1" allowOverlap="1">
                <wp:simplePos x="0" y="0"/>
                <wp:positionH relativeFrom="column">
                  <wp:posOffset>3086100</wp:posOffset>
                </wp:positionH>
                <wp:positionV relativeFrom="paragraph">
                  <wp:posOffset>198120</wp:posOffset>
                </wp:positionV>
                <wp:extent cx="2628900" cy="0"/>
                <wp:effectExtent l="0" t="0" r="0" b="0"/>
                <wp:wrapNone/>
                <wp:docPr id="84" name="直接连接符 84"/>
                <wp:cNvGraphicFramePr/>
                <a:graphic xmlns:a="http://schemas.openxmlformats.org/drawingml/2006/main">
                  <a:graphicData uri="http://schemas.microsoft.com/office/word/2010/wordprocessingShape">
                    <wps:wsp>
                      <wps:cNvCnPr/>
                      <wps:spPr>
                        <a:xfrm>
                          <a:off x="0" y="0"/>
                          <a:ext cx="2628900" cy="0"/>
                        </a:xfrm>
                        <a:prstGeom prst="line">
                          <a:avLst/>
                        </a:prstGeom>
                        <a:ln w="1270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243pt;margin-top:15.6pt;height:0pt;width:207pt;z-index:251691008;mso-width-relative:page;mso-height-relative:page;" filled="f" stroked="t" coordsize="21600,21600" o:gfxdata="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gHsxzWAAAACQEAAA8AAAAAAAAAAQAgAAAAIgAAAGRycy9kb3ducmV2LnhtbFBLAQIUABQAAAAI&#10;AIdO4kDoP0V27wEAANsDAAAOAAAAAAAAAAEAIAAAACUBAABkcnMvZTJvRG9jLnhtbFBLBQYAAAAA&#10;BgAGAFkBAACGBQAAAAA=&#10;">
                <v:fill on="f" focussize="0,0"/>
                <v:stroke weight="1pt" color="#FF0000" joinstyle="round"/>
                <v:imagedata o:title=""/>
                <o:lock v:ext="edit" aspectratio="f"/>
              </v:line>
            </w:pict>
          </mc:Fallback>
        </mc:AlternateContent>
      </w:r>
      <w:r>
        <w:rPr>
          <w:rFonts w:ascii="黑体" w:eastAsia="黑体"/>
          <w:color w:val="FF0000"/>
          <w:sz w:val="32"/>
        </w:rPr>
        <mc:AlternateContent>
          <mc:Choice Requires="wps">
            <w:drawing>
              <wp:anchor distT="0" distB="0" distL="114300" distR="114300" simplePos="0" relativeHeight="251689984" behindDoc="0" locked="0" layoutInCell="1" allowOverlap="1">
                <wp:simplePos x="0" y="0"/>
                <wp:positionH relativeFrom="column">
                  <wp:posOffset>114300</wp:posOffset>
                </wp:positionH>
                <wp:positionV relativeFrom="paragraph">
                  <wp:posOffset>198120</wp:posOffset>
                </wp:positionV>
                <wp:extent cx="2628900" cy="0"/>
                <wp:effectExtent l="0" t="0" r="0" b="0"/>
                <wp:wrapNone/>
                <wp:docPr id="87" name="直接连接符 87"/>
                <wp:cNvGraphicFramePr/>
                <a:graphic xmlns:a="http://schemas.openxmlformats.org/drawingml/2006/main">
                  <a:graphicData uri="http://schemas.microsoft.com/office/word/2010/wordprocessingShape">
                    <wps:wsp>
                      <wps:cNvCnPr/>
                      <wps:spPr>
                        <a:xfrm>
                          <a:off x="0" y="0"/>
                          <a:ext cx="2628900" cy="0"/>
                        </a:xfrm>
                        <a:prstGeom prst="line">
                          <a:avLst/>
                        </a:prstGeom>
                        <a:ln w="1270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9pt;margin-top:15.6pt;height:0pt;width:207pt;z-index:251689984;mso-width-relative:page;mso-height-relative:page;" filled="f" stroked="t" coordsize="21600,21600" o:gfxdata="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Tn8/tYAAAAIAQAADwAAAAAAAAABACAAAAAiAAAAZHJzL2Rvd25yZXYueG1sUEsBAhQAFAAAAAgA&#10;h07iQNHdK7juAQAA2wMAAA4AAAAAAAAAAQAgAAAAJQEAAGRycy9lMm9Eb2MueG1sUEsFBgAAAAAG&#10;AAYAWQEAAIUFAAAAAA==&#10;">
                <v:fill on="f" focussize="0,0"/>
                <v:stroke weight="1pt" color="#FF0000" joinstyle="round"/>
                <v:imagedata o:title=""/>
                <o:lock v:ext="edit" aspectratio="f"/>
              </v:line>
            </w:pict>
          </mc:Fallback>
        </mc:AlternateContent>
      </w:r>
      <w:r>
        <w:rPr>
          <w:rFonts w:hint="eastAsia" w:ascii="黑体" w:eastAsia="黑体"/>
          <w:color w:val="FF0000"/>
          <w:sz w:val="32"/>
        </w:rPr>
        <w:t>★</w:t>
      </w:r>
    </w:p>
    <w:p>
      <w:pPr>
        <w:pStyle w:val="3"/>
        <w:rPr>
          <w:rFonts w:ascii="黑体" w:eastAsia="黑体"/>
          <w:sz w:val="32"/>
        </w:rPr>
      </w:pPr>
    </w:p>
    <w:p>
      <w:pPr>
        <w:ind w:firstLine="560"/>
      </w:pPr>
    </w:p>
    <w:p>
      <w:pPr>
        <w:pStyle w:val="3"/>
      </w:pPr>
      <w:bookmarkStart w:id="1710" w:name="_Toc7495"/>
      <w:bookmarkStart w:id="1711" w:name="_Toc3164"/>
      <w:bookmarkStart w:id="1712" w:name="_Toc17617"/>
      <w:bookmarkStart w:id="1713" w:name="_Toc13270"/>
      <w:bookmarkStart w:id="1714" w:name="_Toc3914"/>
      <w:bookmarkStart w:id="1715" w:name="_Toc25754"/>
      <w:bookmarkStart w:id="1716" w:name="_Toc4866"/>
      <w:bookmarkStart w:id="1717" w:name="_Toc22990"/>
      <w:bookmarkStart w:id="1718" w:name="_Toc14497"/>
      <w:bookmarkStart w:id="1719" w:name="_Toc19306"/>
      <w:bookmarkStart w:id="1720" w:name="_Toc15168"/>
      <w:bookmarkStart w:id="1721" w:name="_Toc15076"/>
      <w:bookmarkStart w:id="1722" w:name="_Toc18117"/>
      <w:bookmarkStart w:id="1723" w:name="_Toc16662"/>
      <w:r>
        <w:rPr>
          <w:rFonts w:hint="eastAsia"/>
        </w:rPr>
        <w:t>关于印发《基坑扩大头锚索补充定额》</w: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p>
    <w:p>
      <w:pPr>
        <w:pStyle w:val="3"/>
      </w:pPr>
      <w:bookmarkStart w:id="1724" w:name="_Toc13914"/>
      <w:bookmarkStart w:id="1725" w:name="_Toc27421"/>
      <w:bookmarkStart w:id="1726" w:name="_Toc13434"/>
      <w:bookmarkStart w:id="1727" w:name="_Toc29227"/>
      <w:bookmarkStart w:id="1728" w:name="_Toc18060"/>
      <w:bookmarkStart w:id="1729" w:name="_Toc9146"/>
      <w:bookmarkStart w:id="1730" w:name="_Toc10580"/>
      <w:bookmarkStart w:id="1731" w:name="_Toc13489"/>
      <w:bookmarkStart w:id="1732" w:name="_Toc9598"/>
      <w:bookmarkStart w:id="1733" w:name="_Toc11833"/>
      <w:bookmarkStart w:id="1734" w:name="_Toc15174"/>
      <w:bookmarkStart w:id="1735" w:name="_Toc10463"/>
      <w:bookmarkStart w:id="1736" w:name="_Toc22325"/>
      <w:bookmarkStart w:id="1737" w:name="_Toc25856"/>
      <w:r>
        <w:rPr>
          <w:rFonts w:hint="eastAsia"/>
        </w:rPr>
        <w:t>（试行）的通知</w:t>
      </w:r>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p>
    <w:p>
      <w:pPr>
        <w:ind w:firstLine="560"/>
      </w:pPr>
    </w:p>
    <w:p>
      <w:pPr>
        <w:ind w:firstLine="560"/>
      </w:pPr>
    </w:p>
    <w:p>
      <w:pPr>
        <w:ind w:firstLine="0" w:firstLineChars="0"/>
      </w:pPr>
      <w:r>
        <w:rPr>
          <w:rFonts w:hint="eastAsia"/>
        </w:rPr>
        <w:t>各建设、</w:t>
      </w:r>
      <w:r>
        <w:t>设计、</w:t>
      </w:r>
      <w:r>
        <w:rPr>
          <w:rFonts w:hint="eastAsia"/>
        </w:rPr>
        <w:t>施工、中介咨询机构，市各有关单位：</w:t>
      </w:r>
    </w:p>
    <w:p>
      <w:pPr>
        <w:ind w:firstLine="560"/>
      </w:pPr>
      <w:r>
        <w:rPr>
          <w:rFonts w:hint="eastAsia"/>
        </w:rPr>
        <w:t>现将《基坑扩大头锚索补充定额》（试行）印发给你们，与2004年计价表配套使用。</w:t>
      </w:r>
    </w:p>
    <w:p>
      <w:pPr>
        <w:ind w:firstLine="560"/>
      </w:pPr>
      <w:r>
        <w:rPr>
          <w:rFonts w:hint="eastAsia"/>
        </w:rPr>
        <w:t>本文下发后，已结算工程不再调整；在本补充定额执行过程中如遇省对该定额有补充的，则按省定额执行。</w:t>
      </w:r>
    </w:p>
    <w:p>
      <w:pPr>
        <w:ind w:firstLine="560"/>
      </w:pPr>
    </w:p>
    <w:p>
      <w:pPr>
        <w:ind w:firstLine="560"/>
      </w:pPr>
      <w:r>
        <w:rPr>
          <w:rFonts w:hint="eastAsia"/>
        </w:rPr>
        <w:t>附件：基坑扩大头锚索补充定额。</w:t>
      </w:r>
    </w:p>
    <w:p>
      <w:pPr>
        <w:pStyle w:val="2"/>
        <w:numPr>
          <w:ilvl w:val="0"/>
          <w:numId w:val="0"/>
        </w:numPr>
        <w:ind w:left="420"/>
      </w:pPr>
    </w:p>
    <w:p>
      <w:pPr>
        <w:ind w:firstLine="560"/>
      </w:pPr>
      <w:r>
        <w:rPr>
          <w:rFonts w:hint="eastAsia"/>
        </w:rPr>
        <w:t>　　                          苏州市工程造价管理处</w:t>
      </w:r>
    </w:p>
    <w:p>
      <w:pPr>
        <w:ind w:firstLine="560"/>
      </w:pPr>
      <w:r>
        <w:rPr>
          <w:rFonts w:hint="eastAsia"/>
        </w:rPr>
        <w:t xml:space="preserve">     　　　　                    2010年5月6日</w:t>
      </w:r>
    </w:p>
    <w:p>
      <w:pPr>
        <w:widowControl/>
        <w:ind w:firstLine="640"/>
        <w:jc w:val="center"/>
        <w:rPr>
          <w:rFonts w:ascii="仿宋_GB2312"/>
          <w:sz w:val="32"/>
        </w:rPr>
      </w:pPr>
      <w:r>
        <w:rPr>
          <w:rFonts w:ascii="仿宋_GB2312"/>
          <w:sz w:val="32"/>
        </w:rPr>
        <w:br w:type="page"/>
      </w:r>
    </w:p>
    <w:p>
      <w:pPr>
        <w:widowControl/>
        <w:ind w:firstLine="640"/>
        <w:jc w:val="center"/>
        <w:rPr>
          <w:rFonts w:ascii="黑体" w:eastAsia="黑体"/>
          <w:sz w:val="32"/>
        </w:rPr>
      </w:pPr>
      <w:r>
        <w:rPr>
          <w:rFonts w:hint="eastAsia" w:ascii="黑体" w:eastAsia="黑体"/>
          <w:sz w:val="32"/>
        </w:rPr>
        <w:t>基坑扩大头锚索补充定额</w:t>
      </w:r>
    </w:p>
    <w:p>
      <w:pPr>
        <w:tabs>
          <w:tab w:val="left" w:pos="7822"/>
        </w:tabs>
        <w:spacing w:line="240" w:lineRule="auto"/>
        <w:ind w:firstLine="0" w:firstLineChars="0"/>
        <w:jc w:val="left"/>
        <w:rPr>
          <w:szCs w:val="18"/>
        </w:rPr>
      </w:pPr>
      <w:r>
        <w:rPr>
          <w:rFonts w:hint="eastAsia"/>
          <w:szCs w:val="18"/>
        </w:rPr>
        <w:t>1、</w:t>
      </w:r>
      <w:r>
        <w:rPr>
          <w:rFonts w:hint="eastAsia"/>
          <w:szCs w:val="22"/>
        </w:rPr>
        <w:t>成孔、注浆</w:t>
      </w:r>
    </w:p>
    <w:p>
      <w:pPr>
        <w:tabs>
          <w:tab w:val="left" w:pos="7822"/>
        </w:tabs>
        <w:spacing w:line="240" w:lineRule="auto"/>
        <w:ind w:firstLine="0" w:firstLineChars="0"/>
        <w:jc w:val="right"/>
        <w:rPr>
          <w:rFonts w:ascii="宋体" w:hAnsi="宋体"/>
          <w:szCs w:val="18"/>
        </w:rPr>
      </w:pPr>
      <w:r>
        <w:rPr>
          <w:rFonts w:hint="eastAsia"/>
          <w:szCs w:val="18"/>
        </w:rPr>
        <w:t>单位：</w:t>
      </w:r>
      <w:r>
        <w:rPr>
          <w:szCs w:val="18"/>
        </w:rPr>
        <w:t>100m</w:t>
      </w:r>
    </w:p>
    <w:tbl>
      <w:tblPr>
        <w:tblStyle w:val="22"/>
        <w:tblW w:w="9179" w:type="dxa"/>
        <w:tblInd w:w="0" w:type="dxa"/>
        <w:tblLayout w:type="autofit"/>
        <w:tblCellMar>
          <w:top w:w="0" w:type="dxa"/>
          <w:left w:w="0" w:type="dxa"/>
          <w:bottom w:w="0" w:type="dxa"/>
          <w:right w:w="0" w:type="dxa"/>
        </w:tblCellMar>
      </w:tblPr>
      <w:tblGrid>
        <w:gridCol w:w="694"/>
        <w:gridCol w:w="1138"/>
        <w:gridCol w:w="2946"/>
        <w:gridCol w:w="708"/>
        <w:gridCol w:w="1232"/>
        <w:gridCol w:w="1230"/>
        <w:gridCol w:w="1231"/>
      </w:tblGrid>
      <w:tr>
        <w:tblPrEx>
          <w:tblCellMar>
            <w:top w:w="0" w:type="dxa"/>
            <w:left w:w="0" w:type="dxa"/>
            <w:bottom w:w="0" w:type="dxa"/>
            <w:right w:w="0" w:type="dxa"/>
          </w:tblCellMar>
        </w:tblPrEx>
        <w:trPr>
          <w:trHeight w:val="531" w:hRule="atLeast"/>
        </w:trPr>
        <w:tc>
          <w:tcPr>
            <w:tcW w:w="6718" w:type="dxa"/>
            <w:gridSpan w:val="5"/>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定额编号</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苏补</w:t>
            </w:r>
            <w:r>
              <w:rPr>
                <w:szCs w:val="28"/>
              </w:rPr>
              <w:t>2-2</w:t>
            </w:r>
          </w:p>
        </w:tc>
      </w:tr>
      <w:tr>
        <w:tblPrEx>
          <w:tblCellMar>
            <w:top w:w="0" w:type="dxa"/>
            <w:left w:w="0" w:type="dxa"/>
            <w:bottom w:w="0" w:type="dxa"/>
            <w:right w:w="0" w:type="dxa"/>
          </w:tblCellMar>
        </w:tblPrEx>
        <w:trPr>
          <w:cantSplit/>
          <w:trHeight w:val="995" w:hRule="atLeast"/>
        </w:trPr>
        <w:tc>
          <w:tcPr>
            <w:tcW w:w="4778" w:type="dxa"/>
            <w:gridSpan w:val="3"/>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项目</w:t>
            </w:r>
          </w:p>
        </w:tc>
        <w:tc>
          <w:tcPr>
            <w:tcW w:w="708" w:type="dxa"/>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单位</w:t>
            </w:r>
          </w:p>
        </w:tc>
        <w:tc>
          <w:tcPr>
            <w:tcW w:w="1232" w:type="dxa"/>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单价</w:t>
            </w:r>
          </w:p>
        </w:tc>
        <w:tc>
          <w:tcPr>
            <w:tcW w:w="2461" w:type="dxa"/>
            <w:gridSpan w:val="2"/>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成孔、注浆φ</w:t>
            </w:r>
            <w:r>
              <w:rPr>
                <w:szCs w:val="28"/>
              </w:rPr>
              <w:t>150mm</w:t>
            </w:r>
          </w:p>
        </w:tc>
      </w:tr>
      <w:tr>
        <w:tblPrEx>
          <w:tblCellMar>
            <w:top w:w="0" w:type="dxa"/>
            <w:left w:w="0" w:type="dxa"/>
            <w:bottom w:w="0" w:type="dxa"/>
            <w:right w:w="0" w:type="dxa"/>
          </w:tblCellMar>
        </w:tblPrEx>
        <w:trPr>
          <w:cantSplit/>
          <w:trHeight w:val="512" w:hRule="atLeast"/>
        </w:trPr>
        <w:tc>
          <w:tcPr>
            <w:tcW w:w="0" w:type="auto"/>
            <w:gridSpan w:val="3"/>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1230"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rFonts w:hint="eastAsia"/>
                <w:szCs w:val="28"/>
              </w:rPr>
              <w:t>数量</w:t>
            </w:r>
          </w:p>
        </w:tc>
        <w:tc>
          <w:tcPr>
            <w:tcW w:w="1231"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rFonts w:hint="eastAsia"/>
                <w:szCs w:val="28"/>
              </w:rPr>
              <w:t>合价</w:t>
            </w:r>
          </w:p>
        </w:tc>
      </w:tr>
      <w:tr>
        <w:tblPrEx>
          <w:tblCellMar>
            <w:top w:w="0" w:type="dxa"/>
            <w:left w:w="0" w:type="dxa"/>
            <w:bottom w:w="0" w:type="dxa"/>
            <w:right w:w="0" w:type="dxa"/>
          </w:tblCellMar>
        </w:tblPrEx>
        <w:trPr>
          <w:trHeight w:val="531" w:hRule="atLeast"/>
        </w:trPr>
        <w:tc>
          <w:tcPr>
            <w:tcW w:w="5486" w:type="dxa"/>
            <w:gridSpan w:val="4"/>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综合单价</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4989.63</w:t>
            </w:r>
          </w:p>
        </w:tc>
      </w:tr>
      <w:tr>
        <w:tblPrEx>
          <w:tblCellMar>
            <w:top w:w="0" w:type="dxa"/>
            <w:left w:w="0" w:type="dxa"/>
            <w:bottom w:w="0" w:type="dxa"/>
            <w:right w:w="0" w:type="dxa"/>
          </w:tblCellMar>
        </w:tblPrEx>
        <w:trPr>
          <w:cantSplit/>
          <w:trHeight w:val="531" w:hRule="atLeast"/>
        </w:trPr>
        <w:tc>
          <w:tcPr>
            <w:tcW w:w="694" w:type="dxa"/>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其中</w:t>
            </w:r>
          </w:p>
        </w:tc>
        <w:tc>
          <w:tcPr>
            <w:tcW w:w="4792" w:type="dxa"/>
            <w:gridSpan w:val="3"/>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人工费</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1015.44</w:t>
            </w:r>
          </w:p>
        </w:tc>
      </w:tr>
      <w:tr>
        <w:tblPrEx>
          <w:tblCellMar>
            <w:top w:w="0" w:type="dxa"/>
            <w:left w:w="0" w:type="dxa"/>
            <w:bottom w:w="0" w:type="dxa"/>
            <w:right w:w="0" w:type="dxa"/>
          </w:tblCellMar>
        </w:tblPrEx>
        <w:trPr>
          <w:cantSplit/>
          <w:trHeight w:val="531" w:hRule="atLeas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792" w:type="dxa"/>
            <w:gridSpan w:val="3"/>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材料费</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1802.76</w:t>
            </w:r>
          </w:p>
        </w:tc>
      </w:tr>
      <w:tr>
        <w:tblPrEx>
          <w:tblCellMar>
            <w:top w:w="0" w:type="dxa"/>
            <w:left w:w="0" w:type="dxa"/>
            <w:bottom w:w="0" w:type="dxa"/>
            <w:right w:w="0" w:type="dxa"/>
          </w:tblCellMar>
        </w:tblPrEx>
        <w:trPr>
          <w:cantSplit/>
          <w:trHeight w:val="531" w:hRule="atLeas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792" w:type="dxa"/>
            <w:gridSpan w:val="3"/>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机械费</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1596.75</w:t>
            </w:r>
          </w:p>
        </w:tc>
      </w:tr>
      <w:tr>
        <w:tblPrEx>
          <w:tblCellMar>
            <w:top w:w="0" w:type="dxa"/>
            <w:left w:w="0" w:type="dxa"/>
            <w:bottom w:w="0" w:type="dxa"/>
            <w:right w:w="0" w:type="dxa"/>
          </w:tblCellMar>
        </w:tblPrEx>
        <w:trPr>
          <w:cantSplit/>
          <w:trHeight w:val="531" w:hRule="atLeas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792" w:type="dxa"/>
            <w:gridSpan w:val="3"/>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管理费</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365.71</w:t>
            </w:r>
          </w:p>
        </w:tc>
      </w:tr>
      <w:tr>
        <w:tblPrEx>
          <w:tblCellMar>
            <w:top w:w="0" w:type="dxa"/>
            <w:left w:w="0" w:type="dxa"/>
            <w:bottom w:w="0" w:type="dxa"/>
            <w:right w:w="0" w:type="dxa"/>
          </w:tblCellMar>
        </w:tblPrEx>
        <w:trPr>
          <w:cantSplit/>
          <w:trHeight w:val="531" w:hRule="atLeas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792" w:type="dxa"/>
            <w:gridSpan w:val="3"/>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利润</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61" w:type="dxa"/>
            <w:gridSpan w:val="2"/>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208.98</w:t>
            </w:r>
          </w:p>
        </w:tc>
      </w:tr>
      <w:tr>
        <w:tblPrEx>
          <w:tblCellMar>
            <w:top w:w="0" w:type="dxa"/>
            <w:left w:w="0" w:type="dxa"/>
            <w:bottom w:w="0" w:type="dxa"/>
            <w:right w:w="0" w:type="dxa"/>
          </w:tblCellMar>
        </w:tblPrEx>
        <w:trPr>
          <w:trHeight w:val="1013" w:hRule="atLeast"/>
        </w:trPr>
        <w:tc>
          <w:tcPr>
            <w:tcW w:w="4778" w:type="dxa"/>
            <w:gridSpan w:val="3"/>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三类工</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工日</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24.00</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42.31</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1015.44</w:t>
            </w:r>
          </w:p>
        </w:tc>
      </w:tr>
      <w:tr>
        <w:tblPrEx>
          <w:tblCellMar>
            <w:top w:w="0" w:type="dxa"/>
            <w:left w:w="0" w:type="dxa"/>
            <w:bottom w:w="0" w:type="dxa"/>
            <w:right w:w="0" w:type="dxa"/>
          </w:tblCellMar>
        </w:tblPrEx>
        <w:trPr>
          <w:cantSplit/>
          <w:trHeight w:val="570" w:hRule="atLeast"/>
        </w:trPr>
        <w:tc>
          <w:tcPr>
            <w:tcW w:w="694" w:type="dxa"/>
            <w:vMerge w:val="restart"/>
            <w:tcBorders>
              <w:top w:val="single" w:color="auto" w:sz="4" w:space="0"/>
              <w:left w:val="single" w:color="auto" w:sz="4" w:space="0"/>
              <w:bottom w:val="single" w:color="000000" w:sz="4" w:space="0"/>
              <w:right w:val="nil"/>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材料</w:t>
            </w:r>
          </w:p>
        </w:tc>
        <w:tc>
          <w:tcPr>
            <w:tcW w:w="1138" w:type="dxa"/>
            <w:tcBorders>
              <w:top w:val="single" w:color="auto" w:sz="4" w:space="0"/>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301026</w:t>
            </w:r>
          </w:p>
        </w:tc>
        <w:tc>
          <w:tcPr>
            <w:tcW w:w="2946"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水泥</w:t>
            </w:r>
            <w:r>
              <w:rPr>
                <w:szCs w:val="28"/>
              </w:rPr>
              <w:t>42.5级</w:t>
            </w:r>
          </w:p>
        </w:tc>
        <w:tc>
          <w:tcPr>
            <w:tcW w:w="708"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kg</w:t>
            </w:r>
          </w:p>
        </w:tc>
        <w:tc>
          <w:tcPr>
            <w:tcW w:w="1232"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0.33</w:t>
            </w:r>
          </w:p>
        </w:tc>
        <w:tc>
          <w:tcPr>
            <w:tcW w:w="1230"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3794.00</w:t>
            </w:r>
          </w:p>
        </w:tc>
        <w:tc>
          <w:tcPr>
            <w:tcW w:w="1231"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1252.02</w:t>
            </w:r>
          </w:p>
        </w:tc>
      </w:tr>
      <w:tr>
        <w:tblPrEx>
          <w:tblCellMar>
            <w:top w:w="0" w:type="dxa"/>
            <w:left w:w="0" w:type="dxa"/>
            <w:bottom w:w="0" w:type="dxa"/>
            <w:right w:w="0" w:type="dxa"/>
          </w:tblCellMar>
        </w:tblPrEx>
        <w:trPr>
          <w:cantSplit/>
          <w:trHeight w:val="531" w:hRule="atLeas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401035</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周转木材</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m3</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1249.00</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0.01</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12.49</w:t>
            </w:r>
          </w:p>
        </w:tc>
      </w:tr>
      <w:tr>
        <w:tblPrEx>
          <w:tblCellMar>
            <w:top w:w="0" w:type="dxa"/>
            <w:left w:w="0" w:type="dxa"/>
            <w:bottom w:w="0" w:type="dxa"/>
            <w:right w:w="0" w:type="dxa"/>
          </w:tblCellMar>
        </w:tblPrEx>
        <w:trPr>
          <w:cantSplit/>
          <w:trHeight w:val="626" w:hRule="atLeas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513289</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钻头套管（用于锚喷）</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只</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114.00</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0.25</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28.50</w:t>
            </w:r>
          </w:p>
        </w:tc>
      </w:tr>
      <w:tr>
        <w:tblPrEx>
          <w:tblCellMar>
            <w:top w:w="0" w:type="dxa"/>
            <w:left w:w="0" w:type="dxa"/>
            <w:bottom w:w="0" w:type="dxa"/>
            <w:right w:w="0" w:type="dxa"/>
          </w:tblCellMar>
        </w:tblPrEx>
        <w:trPr>
          <w:cantSplit/>
          <w:trHeight w:val="1013" w:hRule="atLeas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401035</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rFonts w:hint="eastAsia"/>
                <w:szCs w:val="28"/>
              </w:rPr>
              <w:t>增强塑料水管</w:t>
            </w:r>
          </w:p>
          <w:p>
            <w:pPr>
              <w:ind w:firstLine="0" w:firstLineChars="0"/>
              <w:jc w:val="center"/>
              <w:rPr>
                <w:rFonts w:ascii="宋体" w:hAnsi="宋体"/>
                <w:szCs w:val="28"/>
              </w:rPr>
            </w:pPr>
            <w:r>
              <w:rPr>
                <w:rFonts w:hint="eastAsia"/>
                <w:szCs w:val="28"/>
              </w:rPr>
              <w:t>φ</w:t>
            </w:r>
            <w:r>
              <w:rPr>
                <w:szCs w:val="28"/>
              </w:rPr>
              <w:t>25mm</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m</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2.85</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153.00</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436.05</w:t>
            </w:r>
          </w:p>
        </w:tc>
      </w:tr>
      <w:tr>
        <w:tblPrEx>
          <w:tblCellMar>
            <w:top w:w="0" w:type="dxa"/>
            <w:left w:w="0" w:type="dxa"/>
            <w:bottom w:w="0" w:type="dxa"/>
            <w:right w:w="0" w:type="dxa"/>
          </w:tblCellMar>
        </w:tblPrEx>
        <w:trPr>
          <w:cantSplit/>
          <w:trHeight w:val="570" w:hRule="atLeas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613206</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水</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m3</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2.80</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2.30</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6.44</w:t>
            </w:r>
          </w:p>
        </w:tc>
      </w:tr>
      <w:tr>
        <w:tblPrEx>
          <w:tblCellMar>
            <w:top w:w="0" w:type="dxa"/>
            <w:left w:w="0" w:type="dxa"/>
            <w:bottom w:w="0" w:type="dxa"/>
            <w:right w:w="0" w:type="dxa"/>
          </w:tblCellMar>
        </w:tblPrEx>
        <w:trPr>
          <w:cantSplit/>
          <w:trHeight w:val="570" w:hRule="atLeas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901096</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封口</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只</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3.80</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14.99</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56.96</w:t>
            </w:r>
          </w:p>
        </w:tc>
      </w:tr>
      <w:tr>
        <w:tblPrEx>
          <w:tblCellMar>
            <w:top w:w="0" w:type="dxa"/>
            <w:left w:w="0" w:type="dxa"/>
            <w:bottom w:w="0" w:type="dxa"/>
            <w:right w:w="0" w:type="dxa"/>
          </w:tblCellMar>
        </w:tblPrEx>
        <w:trPr>
          <w:cantSplit/>
          <w:trHeight w:val="570" w:hRule="atLeast"/>
        </w:trPr>
        <w:tc>
          <w:tcPr>
            <w:tcW w:w="0" w:type="auto"/>
            <w:vMerge w:val="continue"/>
            <w:tcBorders>
              <w:top w:val="single" w:color="auto" w:sz="4" w:space="0"/>
              <w:left w:val="single" w:color="auto" w:sz="4" w:space="0"/>
              <w:bottom w:val="single" w:color="auto"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901167</w:t>
            </w:r>
          </w:p>
        </w:tc>
        <w:tc>
          <w:tcPr>
            <w:tcW w:w="294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其他材料费</w:t>
            </w:r>
          </w:p>
        </w:tc>
        <w:tc>
          <w:tcPr>
            <w:tcW w:w="708"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p>
        </w:tc>
        <w:tc>
          <w:tcPr>
            <w:tcW w:w="1230"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p>
        </w:tc>
        <w:tc>
          <w:tcPr>
            <w:tcW w:w="1231"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10.30</w:t>
            </w:r>
          </w:p>
        </w:tc>
      </w:tr>
      <w:tr>
        <w:tblPrEx>
          <w:tblCellMar>
            <w:top w:w="0" w:type="dxa"/>
            <w:left w:w="0" w:type="dxa"/>
            <w:bottom w:w="0" w:type="dxa"/>
            <w:right w:w="0" w:type="dxa"/>
          </w:tblCellMar>
        </w:tblPrEx>
        <w:trPr>
          <w:cantSplit/>
          <w:trHeight w:val="984" w:hRule="atLeast"/>
        </w:trPr>
        <w:tc>
          <w:tcPr>
            <w:tcW w:w="694" w:type="dxa"/>
            <w:vMerge w:val="restart"/>
            <w:tcBorders>
              <w:top w:val="single" w:color="auto" w:sz="4" w:space="0"/>
              <w:left w:val="single" w:color="auto" w:sz="4" w:space="0"/>
              <w:bottom w:val="single" w:color="000000" w:sz="4" w:space="0"/>
              <w:right w:val="nil"/>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机械</w:t>
            </w:r>
          </w:p>
        </w:tc>
        <w:tc>
          <w:tcPr>
            <w:tcW w:w="1138" w:type="dxa"/>
            <w:tcBorders>
              <w:top w:val="single" w:color="auto" w:sz="4" w:space="0"/>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002036</w:t>
            </w:r>
          </w:p>
        </w:tc>
        <w:tc>
          <w:tcPr>
            <w:tcW w:w="2946"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锚杆钻孔机</w:t>
            </w:r>
            <w:r>
              <w:rPr>
                <w:szCs w:val="28"/>
              </w:rPr>
              <w:t>DHR80A</w:t>
            </w:r>
          </w:p>
        </w:tc>
        <w:tc>
          <w:tcPr>
            <w:tcW w:w="708"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232"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1581.68</w:t>
            </w:r>
          </w:p>
        </w:tc>
        <w:tc>
          <w:tcPr>
            <w:tcW w:w="1230"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0.51</w:t>
            </w:r>
          </w:p>
        </w:tc>
        <w:tc>
          <w:tcPr>
            <w:tcW w:w="1231"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809.82</w:t>
            </w:r>
          </w:p>
        </w:tc>
      </w:tr>
      <w:tr>
        <w:tblPrEx>
          <w:tblCellMar>
            <w:top w:w="0" w:type="dxa"/>
            <w:left w:w="0" w:type="dxa"/>
            <w:bottom w:w="0" w:type="dxa"/>
            <w:right w:w="0" w:type="dxa"/>
          </w:tblCellMar>
        </w:tblPrEx>
        <w:trPr>
          <w:cantSplit/>
          <w:trHeight w:val="995" w:hRule="atLeast"/>
        </w:trPr>
        <w:tc>
          <w:tcPr>
            <w:tcW w:w="0" w:type="auto"/>
            <w:vMerge w:val="continue"/>
            <w:tcBorders>
              <w:top w:val="nil"/>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006016</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灰浆拌和机</w:t>
            </w:r>
            <w:r>
              <w:rPr>
                <w:szCs w:val="28"/>
              </w:rPr>
              <w:t xml:space="preserve"> 200L</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51.43</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3.51</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180.73</w:t>
            </w:r>
          </w:p>
        </w:tc>
      </w:tr>
      <w:tr>
        <w:tblPrEx>
          <w:tblCellMar>
            <w:top w:w="0" w:type="dxa"/>
            <w:left w:w="0" w:type="dxa"/>
            <w:bottom w:w="0" w:type="dxa"/>
            <w:right w:w="0" w:type="dxa"/>
          </w:tblCellMar>
        </w:tblPrEx>
        <w:trPr>
          <w:cantSplit/>
          <w:trHeight w:val="995" w:hRule="atLeast"/>
        </w:trPr>
        <w:tc>
          <w:tcPr>
            <w:tcW w:w="0" w:type="auto"/>
            <w:vMerge w:val="continue"/>
            <w:tcBorders>
              <w:top w:val="nil"/>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006039</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灰浆输送泵输送量</w:t>
            </w:r>
            <w:r>
              <w:rPr>
                <w:szCs w:val="28"/>
              </w:rPr>
              <w:t>3m3/h</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81.31</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3.51</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285.72</w:t>
            </w:r>
          </w:p>
        </w:tc>
      </w:tr>
      <w:tr>
        <w:tblPrEx>
          <w:tblCellMar>
            <w:top w:w="0" w:type="dxa"/>
            <w:left w:w="0" w:type="dxa"/>
            <w:bottom w:w="0" w:type="dxa"/>
            <w:right w:w="0" w:type="dxa"/>
          </w:tblCellMar>
        </w:tblPrEx>
        <w:trPr>
          <w:cantSplit/>
          <w:trHeight w:val="1476" w:hRule="atLeast"/>
        </w:trPr>
        <w:tc>
          <w:tcPr>
            <w:tcW w:w="0" w:type="auto"/>
            <w:vMerge w:val="continue"/>
            <w:tcBorders>
              <w:top w:val="nil"/>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008014</w:t>
            </w:r>
          </w:p>
        </w:tc>
        <w:tc>
          <w:tcPr>
            <w:tcW w:w="2946"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电动多级离心泵出口直径</w:t>
            </w:r>
            <w:r>
              <w:rPr>
                <w:szCs w:val="28"/>
              </w:rPr>
              <w:t>150mm扬程180m</w:t>
            </w:r>
          </w:p>
        </w:tc>
        <w:tc>
          <w:tcPr>
            <w:tcW w:w="708"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232"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555.09</w:t>
            </w:r>
          </w:p>
        </w:tc>
        <w:tc>
          <w:tcPr>
            <w:tcW w:w="1230"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0.51</w:t>
            </w:r>
          </w:p>
        </w:tc>
        <w:tc>
          <w:tcPr>
            <w:tcW w:w="1231"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284.21</w:t>
            </w:r>
          </w:p>
        </w:tc>
      </w:tr>
      <w:tr>
        <w:tblPrEx>
          <w:tblCellMar>
            <w:top w:w="0" w:type="dxa"/>
            <w:left w:w="0" w:type="dxa"/>
            <w:bottom w:w="0" w:type="dxa"/>
            <w:right w:w="0" w:type="dxa"/>
          </w:tblCellMar>
        </w:tblPrEx>
        <w:trPr>
          <w:cantSplit/>
          <w:trHeight w:val="1013" w:hRule="atLeast"/>
        </w:trPr>
        <w:tc>
          <w:tcPr>
            <w:tcW w:w="0" w:type="auto"/>
            <w:vMerge w:val="continue"/>
            <w:tcBorders>
              <w:top w:val="nil"/>
              <w:left w:val="single" w:color="auto" w:sz="4" w:space="0"/>
              <w:bottom w:val="single" w:color="000000" w:sz="4" w:space="0"/>
              <w:right w:val="nil"/>
            </w:tcBorders>
            <w:vAlign w:val="center"/>
          </w:tcPr>
          <w:p>
            <w:pPr>
              <w:ind w:firstLine="0" w:firstLineChars="0"/>
              <w:rPr>
                <w:rFonts w:ascii="宋体" w:hAnsi="宋体"/>
                <w:szCs w:val="28"/>
              </w:rPr>
            </w:pPr>
          </w:p>
        </w:tc>
        <w:tc>
          <w:tcPr>
            <w:tcW w:w="1138"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008023</w:t>
            </w:r>
          </w:p>
        </w:tc>
        <w:tc>
          <w:tcPr>
            <w:tcW w:w="294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泥浆泵φ</w:t>
            </w:r>
            <w:r>
              <w:rPr>
                <w:szCs w:val="28"/>
              </w:rPr>
              <w:t>50mm</w:t>
            </w:r>
          </w:p>
        </w:tc>
        <w:tc>
          <w:tcPr>
            <w:tcW w:w="708"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232"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70.85</w:t>
            </w:r>
          </w:p>
        </w:tc>
        <w:tc>
          <w:tcPr>
            <w:tcW w:w="1230"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0.51</w:t>
            </w:r>
          </w:p>
        </w:tc>
        <w:tc>
          <w:tcPr>
            <w:tcW w:w="1231"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right"/>
              <w:rPr>
                <w:rFonts w:ascii="宋体" w:hAnsi="宋体"/>
                <w:szCs w:val="28"/>
              </w:rPr>
            </w:pPr>
            <w:r>
              <w:rPr>
                <w:szCs w:val="28"/>
              </w:rPr>
              <w:t>36.28</w:t>
            </w:r>
          </w:p>
        </w:tc>
      </w:tr>
    </w:tbl>
    <w:p>
      <w:pPr>
        <w:widowControl/>
        <w:ind w:firstLine="0" w:firstLineChars="0"/>
        <w:jc w:val="left"/>
        <w:rPr>
          <w:rFonts w:ascii="宋体" w:hAnsi="宋体" w:cs="宋体"/>
          <w:kern w:val="0"/>
        </w:rPr>
      </w:pPr>
      <w:r>
        <w:rPr>
          <w:rFonts w:hint="eastAsia" w:ascii="宋体" w:hAnsi="宋体" w:cs="宋体"/>
          <w:kern w:val="0"/>
        </w:rPr>
        <w:t>2、</w:t>
      </w:r>
      <w:r>
        <w:rPr>
          <w:rFonts w:hint="eastAsia"/>
          <w:szCs w:val="22"/>
        </w:rPr>
        <w:t>扩大头成孔</w:t>
      </w:r>
      <w:r>
        <w:rPr>
          <w:szCs w:val="22"/>
        </w:rPr>
        <w:t xml:space="preserve"> </w:t>
      </w:r>
      <w:r>
        <w:rPr>
          <w:rFonts w:hint="eastAsia"/>
          <w:szCs w:val="22"/>
        </w:rPr>
        <w:t>水扩、浆扩、注浆</w:t>
      </w:r>
    </w:p>
    <w:p>
      <w:pPr>
        <w:tabs>
          <w:tab w:val="left" w:pos="7822"/>
        </w:tabs>
        <w:ind w:firstLine="0" w:firstLineChars="0"/>
        <w:jc w:val="right"/>
        <w:rPr>
          <w:rFonts w:ascii="宋体" w:hAnsi="宋体"/>
          <w:szCs w:val="18"/>
        </w:rPr>
      </w:pPr>
      <w:r>
        <w:rPr>
          <w:rFonts w:hint="eastAsia"/>
          <w:szCs w:val="18"/>
        </w:rPr>
        <w:t>单位：</w:t>
      </w:r>
      <w:r>
        <w:rPr>
          <w:szCs w:val="18"/>
        </w:rPr>
        <w:t>m</w:t>
      </w:r>
    </w:p>
    <w:tbl>
      <w:tblPr>
        <w:tblStyle w:val="22"/>
        <w:tblW w:w="9479" w:type="dxa"/>
        <w:tblInd w:w="-78" w:type="dxa"/>
        <w:tblLayout w:type="autofit"/>
        <w:tblCellMar>
          <w:top w:w="0" w:type="dxa"/>
          <w:left w:w="0" w:type="dxa"/>
          <w:bottom w:w="0" w:type="dxa"/>
          <w:right w:w="0" w:type="dxa"/>
        </w:tblCellMar>
      </w:tblPr>
      <w:tblGrid>
        <w:gridCol w:w="806"/>
        <w:gridCol w:w="1247"/>
        <w:gridCol w:w="2737"/>
        <w:gridCol w:w="844"/>
        <w:gridCol w:w="1350"/>
        <w:gridCol w:w="1348"/>
        <w:gridCol w:w="1147"/>
      </w:tblGrid>
      <w:tr>
        <w:tblPrEx>
          <w:tblCellMar>
            <w:top w:w="0" w:type="dxa"/>
            <w:left w:w="0" w:type="dxa"/>
            <w:bottom w:w="0" w:type="dxa"/>
            <w:right w:w="0" w:type="dxa"/>
          </w:tblCellMar>
        </w:tblPrEx>
        <w:trPr>
          <w:trHeight w:val="529" w:hRule="atLeast"/>
        </w:trPr>
        <w:tc>
          <w:tcPr>
            <w:tcW w:w="6984" w:type="dxa"/>
            <w:gridSpan w:val="5"/>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定额编号</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苏补</w:t>
            </w:r>
            <w:r>
              <w:rPr>
                <w:szCs w:val="28"/>
              </w:rPr>
              <w:t>2-3</w:t>
            </w:r>
          </w:p>
        </w:tc>
      </w:tr>
      <w:tr>
        <w:tblPrEx>
          <w:tblCellMar>
            <w:top w:w="0" w:type="dxa"/>
            <w:left w:w="0" w:type="dxa"/>
            <w:bottom w:w="0" w:type="dxa"/>
            <w:right w:w="0" w:type="dxa"/>
          </w:tblCellMar>
        </w:tblPrEx>
        <w:trPr>
          <w:cantSplit/>
          <w:trHeight w:val="1497" w:hRule="atLeast"/>
        </w:trPr>
        <w:tc>
          <w:tcPr>
            <w:tcW w:w="4790" w:type="dxa"/>
            <w:gridSpan w:val="3"/>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项目</w:t>
            </w:r>
          </w:p>
        </w:tc>
        <w:tc>
          <w:tcPr>
            <w:tcW w:w="844" w:type="dxa"/>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单位</w:t>
            </w:r>
          </w:p>
        </w:tc>
        <w:tc>
          <w:tcPr>
            <w:tcW w:w="1350" w:type="dxa"/>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单价</w:t>
            </w:r>
          </w:p>
        </w:tc>
        <w:tc>
          <w:tcPr>
            <w:tcW w:w="2495" w:type="dxa"/>
            <w:gridSpan w:val="2"/>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扩大头成孔</w:t>
            </w:r>
            <w:r>
              <w:rPr>
                <w:szCs w:val="28"/>
              </w:rPr>
              <w:t xml:space="preserve"> </w:t>
            </w:r>
            <w:r>
              <w:rPr>
                <w:rFonts w:hint="eastAsia"/>
                <w:szCs w:val="28"/>
              </w:rPr>
              <w:t>水扩、浆扩、注浆φ</w:t>
            </w:r>
            <w:r>
              <w:rPr>
                <w:szCs w:val="28"/>
              </w:rPr>
              <w:t>800mm</w:t>
            </w:r>
          </w:p>
        </w:tc>
      </w:tr>
      <w:tr>
        <w:tblPrEx>
          <w:tblCellMar>
            <w:top w:w="0" w:type="dxa"/>
            <w:left w:w="0" w:type="dxa"/>
            <w:bottom w:w="0" w:type="dxa"/>
            <w:right w:w="0" w:type="dxa"/>
          </w:tblCellMar>
        </w:tblPrEx>
        <w:trPr>
          <w:cantSplit/>
          <w:trHeight w:val="510" w:hRule="atLeast"/>
        </w:trPr>
        <w:tc>
          <w:tcPr>
            <w:tcW w:w="4790" w:type="dxa"/>
            <w:gridSpan w:val="3"/>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844" w:type="dxa"/>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1350" w:type="dxa"/>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1348"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数量</w:t>
            </w:r>
          </w:p>
        </w:tc>
        <w:tc>
          <w:tcPr>
            <w:tcW w:w="1147"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合价</w:t>
            </w:r>
          </w:p>
        </w:tc>
      </w:tr>
      <w:tr>
        <w:tblPrEx>
          <w:tblCellMar>
            <w:top w:w="0" w:type="dxa"/>
            <w:left w:w="0" w:type="dxa"/>
            <w:bottom w:w="0" w:type="dxa"/>
            <w:right w:w="0" w:type="dxa"/>
          </w:tblCellMar>
        </w:tblPrEx>
        <w:trPr>
          <w:trHeight w:val="529" w:hRule="atLeast"/>
        </w:trPr>
        <w:tc>
          <w:tcPr>
            <w:tcW w:w="5634" w:type="dxa"/>
            <w:gridSpan w:val="4"/>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综合单价</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1268.81</w:t>
            </w:r>
          </w:p>
        </w:tc>
      </w:tr>
      <w:tr>
        <w:tblPrEx>
          <w:tblCellMar>
            <w:top w:w="0" w:type="dxa"/>
            <w:left w:w="0" w:type="dxa"/>
            <w:bottom w:w="0" w:type="dxa"/>
            <w:right w:w="0" w:type="dxa"/>
          </w:tblCellMar>
        </w:tblPrEx>
        <w:trPr>
          <w:cantSplit/>
          <w:trHeight w:val="529" w:hRule="atLeast"/>
        </w:trPr>
        <w:tc>
          <w:tcPr>
            <w:tcW w:w="806" w:type="dxa"/>
            <w:vMerge w:val="restart"/>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其中</w:t>
            </w:r>
          </w:p>
        </w:tc>
        <w:tc>
          <w:tcPr>
            <w:tcW w:w="4828" w:type="dxa"/>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人工费</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101.28</w:t>
            </w:r>
          </w:p>
        </w:tc>
      </w:tr>
      <w:tr>
        <w:tblPrEx>
          <w:tblCellMar>
            <w:top w:w="0" w:type="dxa"/>
            <w:left w:w="0" w:type="dxa"/>
            <w:bottom w:w="0" w:type="dxa"/>
            <w:right w:w="0" w:type="dxa"/>
          </w:tblCellMar>
        </w:tblPrEx>
        <w:trPr>
          <w:cantSplit/>
          <w:trHeight w:val="529" w:hRule="atLeast"/>
        </w:trPr>
        <w:tc>
          <w:tcPr>
            <w:tcW w:w="806" w:type="dxa"/>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828" w:type="dxa"/>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材料费</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383.02</w:t>
            </w:r>
          </w:p>
        </w:tc>
      </w:tr>
      <w:tr>
        <w:tblPrEx>
          <w:tblCellMar>
            <w:top w:w="0" w:type="dxa"/>
            <w:left w:w="0" w:type="dxa"/>
            <w:bottom w:w="0" w:type="dxa"/>
            <w:right w:w="0" w:type="dxa"/>
          </w:tblCellMar>
        </w:tblPrEx>
        <w:trPr>
          <w:cantSplit/>
          <w:trHeight w:val="529" w:hRule="atLeast"/>
        </w:trPr>
        <w:tc>
          <w:tcPr>
            <w:tcW w:w="806" w:type="dxa"/>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828" w:type="dxa"/>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机械费</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624.78</w:t>
            </w:r>
          </w:p>
        </w:tc>
      </w:tr>
      <w:tr>
        <w:tblPrEx>
          <w:tblCellMar>
            <w:top w:w="0" w:type="dxa"/>
            <w:left w:w="0" w:type="dxa"/>
            <w:bottom w:w="0" w:type="dxa"/>
            <w:right w:w="0" w:type="dxa"/>
          </w:tblCellMar>
        </w:tblPrEx>
        <w:trPr>
          <w:cantSplit/>
          <w:trHeight w:val="529" w:hRule="atLeast"/>
        </w:trPr>
        <w:tc>
          <w:tcPr>
            <w:tcW w:w="806" w:type="dxa"/>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828" w:type="dxa"/>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管理费</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101.65</w:t>
            </w:r>
          </w:p>
        </w:tc>
      </w:tr>
      <w:tr>
        <w:tblPrEx>
          <w:tblCellMar>
            <w:top w:w="0" w:type="dxa"/>
            <w:left w:w="0" w:type="dxa"/>
            <w:bottom w:w="0" w:type="dxa"/>
            <w:right w:w="0" w:type="dxa"/>
          </w:tblCellMar>
        </w:tblPrEx>
        <w:trPr>
          <w:cantSplit/>
          <w:trHeight w:val="529" w:hRule="atLeast"/>
        </w:trPr>
        <w:tc>
          <w:tcPr>
            <w:tcW w:w="806" w:type="dxa"/>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Cs w:val="28"/>
              </w:rPr>
            </w:pPr>
          </w:p>
        </w:tc>
        <w:tc>
          <w:tcPr>
            <w:tcW w:w="4828" w:type="dxa"/>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利润</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2495"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58.08</w:t>
            </w:r>
          </w:p>
        </w:tc>
      </w:tr>
      <w:tr>
        <w:tblPrEx>
          <w:tblCellMar>
            <w:top w:w="0" w:type="dxa"/>
            <w:left w:w="0" w:type="dxa"/>
            <w:bottom w:w="0" w:type="dxa"/>
            <w:right w:w="0" w:type="dxa"/>
          </w:tblCellMar>
        </w:tblPrEx>
        <w:trPr>
          <w:trHeight w:val="529" w:hRule="atLeast"/>
        </w:trPr>
        <w:tc>
          <w:tcPr>
            <w:tcW w:w="4790" w:type="dxa"/>
            <w:gridSpan w:val="3"/>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三类工</w:t>
            </w:r>
          </w:p>
        </w:tc>
        <w:tc>
          <w:tcPr>
            <w:tcW w:w="844"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工日</w:t>
            </w:r>
          </w:p>
        </w:tc>
        <w:tc>
          <w:tcPr>
            <w:tcW w:w="1350"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24.00</w:t>
            </w:r>
          </w:p>
        </w:tc>
        <w:tc>
          <w:tcPr>
            <w:tcW w:w="1348"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4.22</w:t>
            </w:r>
          </w:p>
        </w:tc>
        <w:tc>
          <w:tcPr>
            <w:tcW w:w="1147"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101.28</w:t>
            </w:r>
          </w:p>
        </w:tc>
      </w:tr>
      <w:tr>
        <w:tblPrEx>
          <w:tblCellMar>
            <w:top w:w="0" w:type="dxa"/>
            <w:left w:w="0" w:type="dxa"/>
            <w:bottom w:w="0" w:type="dxa"/>
            <w:right w:w="0" w:type="dxa"/>
          </w:tblCellMar>
        </w:tblPrEx>
        <w:trPr>
          <w:cantSplit/>
          <w:trHeight w:val="568" w:hRule="atLeast"/>
        </w:trPr>
        <w:tc>
          <w:tcPr>
            <w:tcW w:w="806" w:type="dxa"/>
            <w:vMerge w:val="restart"/>
            <w:tcBorders>
              <w:top w:val="single" w:color="auto" w:sz="4" w:space="0"/>
              <w:left w:val="single" w:color="auto" w:sz="4" w:space="0"/>
              <w:bottom w:val="single" w:color="000000" w:sz="4" w:space="0"/>
              <w:right w:val="nil"/>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材料</w:t>
            </w:r>
          </w:p>
        </w:tc>
        <w:tc>
          <w:tcPr>
            <w:tcW w:w="1247" w:type="dxa"/>
            <w:tcBorders>
              <w:top w:val="single" w:color="auto" w:sz="4" w:space="0"/>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301026</w:t>
            </w:r>
          </w:p>
        </w:tc>
        <w:tc>
          <w:tcPr>
            <w:tcW w:w="2737"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水泥</w:t>
            </w:r>
            <w:r>
              <w:rPr>
                <w:szCs w:val="28"/>
              </w:rPr>
              <w:t>42.5级</w:t>
            </w:r>
          </w:p>
        </w:tc>
        <w:tc>
          <w:tcPr>
            <w:tcW w:w="844"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kg</w:t>
            </w:r>
          </w:p>
        </w:tc>
        <w:tc>
          <w:tcPr>
            <w:tcW w:w="1350"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0.33</w:t>
            </w:r>
          </w:p>
        </w:tc>
        <w:tc>
          <w:tcPr>
            <w:tcW w:w="1348"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1080.00</w:t>
            </w:r>
          </w:p>
        </w:tc>
        <w:tc>
          <w:tcPr>
            <w:tcW w:w="1147" w:type="dxa"/>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356.40</w:t>
            </w:r>
          </w:p>
        </w:tc>
      </w:tr>
      <w:tr>
        <w:tblPrEx>
          <w:tblCellMar>
            <w:top w:w="0" w:type="dxa"/>
            <w:left w:w="0" w:type="dxa"/>
            <w:bottom w:w="0" w:type="dxa"/>
            <w:right w:w="0" w:type="dxa"/>
          </w:tblCellMar>
        </w:tblPrEx>
        <w:trPr>
          <w:cantSplit/>
          <w:trHeight w:val="568" w:hRule="atLeast"/>
        </w:trPr>
        <w:tc>
          <w:tcPr>
            <w:tcW w:w="806" w:type="dxa"/>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513279</w:t>
            </w:r>
          </w:p>
        </w:tc>
        <w:tc>
          <w:tcPr>
            <w:tcW w:w="2737"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注浆管摊销</w:t>
            </w:r>
          </w:p>
        </w:tc>
        <w:tc>
          <w:tcPr>
            <w:tcW w:w="844"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kg</w:t>
            </w:r>
          </w:p>
        </w:tc>
        <w:tc>
          <w:tcPr>
            <w:tcW w:w="1350"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3.33</w:t>
            </w:r>
          </w:p>
        </w:tc>
        <w:tc>
          <w:tcPr>
            <w:tcW w:w="1348"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2.60</w:t>
            </w:r>
          </w:p>
        </w:tc>
        <w:tc>
          <w:tcPr>
            <w:tcW w:w="1147"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8.66</w:t>
            </w:r>
          </w:p>
        </w:tc>
      </w:tr>
      <w:tr>
        <w:tblPrEx>
          <w:tblCellMar>
            <w:top w:w="0" w:type="dxa"/>
            <w:left w:w="0" w:type="dxa"/>
            <w:bottom w:w="0" w:type="dxa"/>
            <w:right w:w="0" w:type="dxa"/>
          </w:tblCellMar>
        </w:tblPrEx>
        <w:trPr>
          <w:cantSplit/>
          <w:trHeight w:val="1013" w:hRule="atLeast"/>
        </w:trPr>
        <w:tc>
          <w:tcPr>
            <w:tcW w:w="806" w:type="dxa"/>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401035</w:t>
            </w:r>
          </w:p>
        </w:tc>
        <w:tc>
          <w:tcPr>
            <w:tcW w:w="2737"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增强塑料水管φ</w:t>
            </w:r>
            <w:r>
              <w:rPr>
                <w:szCs w:val="28"/>
              </w:rPr>
              <w:t>25mm</w:t>
            </w:r>
          </w:p>
        </w:tc>
        <w:tc>
          <w:tcPr>
            <w:tcW w:w="844"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m</w:t>
            </w:r>
          </w:p>
        </w:tc>
        <w:tc>
          <w:tcPr>
            <w:tcW w:w="1350"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2.85</w:t>
            </w:r>
          </w:p>
        </w:tc>
        <w:tc>
          <w:tcPr>
            <w:tcW w:w="1348"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1.60</w:t>
            </w:r>
          </w:p>
        </w:tc>
        <w:tc>
          <w:tcPr>
            <w:tcW w:w="1147"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4.56</w:t>
            </w:r>
          </w:p>
        </w:tc>
      </w:tr>
      <w:tr>
        <w:tblPrEx>
          <w:tblCellMar>
            <w:top w:w="0" w:type="dxa"/>
            <w:left w:w="0" w:type="dxa"/>
            <w:bottom w:w="0" w:type="dxa"/>
            <w:right w:w="0" w:type="dxa"/>
          </w:tblCellMar>
        </w:tblPrEx>
        <w:trPr>
          <w:cantSplit/>
          <w:trHeight w:val="568" w:hRule="atLeast"/>
        </w:trPr>
        <w:tc>
          <w:tcPr>
            <w:tcW w:w="806" w:type="dxa"/>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szCs w:val="28"/>
              </w:rPr>
              <w:t>613206</w:t>
            </w:r>
          </w:p>
        </w:tc>
        <w:tc>
          <w:tcPr>
            <w:tcW w:w="2737"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水</w:t>
            </w:r>
          </w:p>
        </w:tc>
        <w:tc>
          <w:tcPr>
            <w:tcW w:w="844"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m3</w:t>
            </w:r>
          </w:p>
        </w:tc>
        <w:tc>
          <w:tcPr>
            <w:tcW w:w="1350"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2.80</w:t>
            </w:r>
          </w:p>
        </w:tc>
        <w:tc>
          <w:tcPr>
            <w:tcW w:w="1348"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0.50</w:t>
            </w:r>
          </w:p>
        </w:tc>
        <w:tc>
          <w:tcPr>
            <w:tcW w:w="1147"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1.40</w:t>
            </w:r>
          </w:p>
        </w:tc>
      </w:tr>
      <w:tr>
        <w:tblPrEx>
          <w:tblCellMar>
            <w:top w:w="0" w:type="dxa"/>
            <w:left w:w="0" w:type="dxa"/>
            <w:bottom w:w="0" w:type="dxa"/>
            <w:right w:w="0" w:type="dxa"/>
          </w:tblCellMar>
        </w:tblPrEx>
        <w:trPr>
          <w:cantSplit/>
          <w:trHeight w:val="529" w:hRule="atLeast"/>
        </w:trPr>
        <w:tc>
          <w:tcPr>
            <w:tcW w:w="806" w:type="dxa"/>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szCs w:val="28"/>
              </w:rPr>
              <w:t>901167</w:t>
            </w:r>
          </w:p>
        </w:tc>
        <w:tc>
          <w:tcPr>
            <w:tcW w:w="2737"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其他材料费</w:t>
            </w:r>
          </w:p>
        </w:tc>
        <w:tc>
          <w:tcPr>
            <w:tcW w:w="844"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元</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p>
        </w:tc>
        <w:tc>
          <w:tcPr>
            <w:tcW w:w="1348"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p>
        </w:tc>
        <w:tc>
          <w:tcPr>
            <w:tcW w:w="1147"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12.00</w:t>
            </w:r>
          </w:p>
        </w:tc>
      </w:tr>
      <w:tr>
        <w:tblPrEx>
          <w:tblCellMar>
            <w:top w:w="0" w:type="dxa"/>
            <w:left w:w="0" w:type="dxa"/>
            <w:bottom w:w="0" w:type="dxa"/>
            <w:right w:w="0" w:type="dxa"/>
          </w:tblCellMar>
        </w:tblPrEx>
        <w:trPr>
          <w:cantSplit/>
          <w:trHeight w:val="1003" w:hRule="atLeast"/>
        </w:trPr>
        <w:tc>
          <w:tcPr>
            <w:tcW w:w="806" w:type="dxa"/>
            <w:vMerge w:val="restart"/>
            <w:tcBorders>
              <w:top w:val="nil"/>
              <w:left w:val="single" w:color="auto" w:sz="4" w:space="0"/>
              <w:bottom w:val="single" w:color="auto" w:sz="4" w:space="0"/>
              <w:right w:val="nil"/>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机械</w:t>
            </w:r>
          </w:p>
        </w:tc>
        <w:tc>
          <w:tcPr>
            <w:tcW w:w="1247"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002036</w:t>
            </w:r>
          </w:p>
        </w:tc>
        <w:tc>
          <w:tcPr>
            <w:tcW w:w="2737"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锚杆钻孔机</w:t>
            </w:r>
            <w:r>
              <w:rPr>
                <w:szCs w:val="28"/>
              </w:rPr>
              <w:t>DHR80A</w:t>
            </w:r>
          </w:p>
        </w:tc>
        <w:tc>
          <w:tcPr>
            <w:tcW w:w="844"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350"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1581.68</w:t>
            </w:r>
          </w:p>
        </w:tc>
        <w:tc>
          <w:tcPr>
            <w:tcW w:w="1348"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0.28</w:t>
            </w:r>
          </w:p>
        </w:tc>
        <w:tc>
          <w:tcPr>
            <w:tcW w:w="1147"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446.03</w:t>
            </w:r>
          </w:p>
        </w:tc>
      </w:tr>
      <w:tr>
        <w:tblPrEx>
          <w:tblCellMar>
            <w:top w:w="0" w:type="dxa"/>
            <w:left w:w="0" w:type="dxa"/>
            <w:bottom w:w="0" w:type="dxa"/>
            <w:right w:w="0" w:type="dxa"/>
          </w:tblCellMar>
        </w:tblPrEx>
        <w:trPr>
          <w:cantSplit/>
          <w:trHeight w:val="990" w:hRule="atLeast"/>
        </w:trPr>
        <w:tc>
          <w:tcPr>
            <w:tcW w:w="806" w:type="dxa"/>
            <w:vMerge w:val="continue"/>
            <w:tcBorders>
              <w:top w:val="nil"/>
              <w:left w:val="single" w:color="auto" w:sz="4" w:space="0"/>
              <w:bottom w:val="single" w:color="auto"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006016</w:t>
            </w:r>
          </w:p>
        </w:tc>
        <w:tc>
          <w:tcPr>
            <w:tcW w:w="2737"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灰浆拌和机</w:t>
            </w:r>
            <w:r>
              <w:rPr>
                <w:szCs w:val="28"/>
              </w:rPr>
              <w:t xml:space="preserve"> 200L</w:t>
            </w:r>
          </w:p>
        </w:tc>
        <w:tc>
          <w:tcPr>
            <w:tcW w:w="844"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350"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51.43</w:t>
            </w:r>
          </w:p>
        </w:tc>
        <w:tc>
          <w:tcPr>
            <w:tcW w:w="1348"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0.98</w:t>
            </w:r>
          </w:p>
        </w:tc>
        <w:tc>
          <w:tcPr>
            <w:tcW w:w="1147"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50.40</w:t>
            </w:r>
          </w:p>
        </w:tc>
      </w:tr>
      <w:tr>
        <w:tblPrEx>
          <w:tblCellMar>
            <w:top w:w="0" w:type="dxa"/>
            <w:left w:w="0" w:type="dxa"/>
            <w:bottom w:w="0" w:type="dxa"/>
            <w:right w:w="0" w:type="dxa"/>
          </w:tblCellMar>
        </w:tblPrEx>
        <w:trPr>
          <w:cantSplit/>
          <w:trHeight w:val="1003" w:hRule="atLeast"/>
        </w:trPr>
        <w:tc>
          <w:tcPr>
            <w:tcW w:w="806" w:type="dxa"/>
            <w:vMerge w:val="continue"/>
            <w:tcBorders>
              <w:top w:val="nil"/>
              <w:left w:val="single" w:color="auto" w:sz="4" w:space="0"/>
              <w:bottom w:val="single" w:color="auto"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nil"/>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006039</w:t>
            </w:r>
          </w:p>
        </w:tc>
        <w:tc>
          <w:tcPr>
            <w:tcW w:w="2737"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灰浆输送泵输送量</w:t>
            </w:r>
            <w:r>
              <w:rPr>
                <w:szCs w:val="28"/>
              </w:rPr>
              <w:t>3m3/h</w:t>
            </w:r>
          </w:p>
        </w:tc>
        <w:tc>
          <w:tcPr>
            <w:tcW w:w="844"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350"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81.31</w:t>
            </w:r>
          </w:p>
        </w:tc>
        <w:tc>
          <w:tcPr>
            <w:tcW w:w="1348"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0.98</w:t>
            </w:r>
          </w:p>
        </w:tc>
        <w:tc>
          <w:tcPr>
            <w:tcW w:w="1147" w:type="dxa"/>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79.68</w:t>
            </w:r>
          </w:p>
        </w:tc>
      </w:tr>
      <w:tr>
        <w:tblPrEx>
          <w:tblCellMar>
            <w:top w:w="0" w:type="dxa"/>
            <w:left w:w="0" w:type="dxa"/>
            <w:bottom w:w="0" w:type="dxa"/>
            <w:right w:w="0" w:type="dxa"/>
          </w:tblCellMar>
        </w:tblPrEx>
        <w:trPr>
          <w:cantSplit/>
          <w:trHeight w:val="1013" w:hRule="atLeast"/>
        </w:trPr>
        <w:tc>
          <w:tcPr>
            <w:tcW w:w="806" w:type="dxa"/>
            <w:vMerge w:val="continue"/>
            <w:tcBorders>
              <w:top w:val="nil"/>
              <w:left w:val="single" w:color="auto" w:sz="4" w:space="0"/>
              <w:bottom w:val="single" w:color="auto" w:sz="4" w:space="0"/>
              <w:right w:val="nil"/>
            </w:tcBorders>
            <w:vAlign w:val="center"/>
          </w:tcPr>
          <w:p>
            <w:pPr>
              <w:ind w:firstLine="0" w:firstLineChars="0"/>
              <w:rPr>
                <w:rFonts w:ascii="宋体" w:hAnsi="宋体"/>
                <w:szCs w:val="28"/>
              </w:rPr>
            </w:pPr>
          </w:p>
        </w:tc>
        <w:tc>
          <w:tcPr>
            <w:tcW w:w="1247" w:type="dxa"/>
            <w:tcBorders>
              <w:top w:val="nil"/>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szCs w:val="28"/>
              </w:rPr>
            </w:pPr>
            <w:r>
              <w:rPr>
                <w:szCs w:val="28"/>
              </w:rPr>
              <w:t>011001</w:t>
            </w:r>
          </w:p>
        </w:tc>
        <w:tc>
          <w:tcPr>
            <w:tcW w:w="2737"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高压注浆泵</w:t>
            </w:r>
            <w:r>
              <w:rPr>
                <w:szCs w:val="28"/>
              </w:rPr>
              <w:t xml:space="preserve"> GZB-40B型</w:t>
            </w:r>
          </w:p>
        </w:tc>
        <w:tc>
          <w:tcPr>
            <w:tcW w:w="844"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Cs w:val="28"/>
              </w:rPr>
            </w:pPr>
            <w:r>
              <w:rPr>
                <w:rFonts w:hint="eastAsia"/>
                <w:szCs w:val="28"/>
              </w:rPr>
              <w:t>台班</w:t>
            </w:r>
          </w:p>
        </w:tc>
        <w:tc>
          <w:tcPr>
            <w:tcW w:w="1350"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172.55</w:t>
            </w:r>
          </w:p>
        </w:tc>
        <w:tc>
          <w:tcPr>
            <w:tcW w:w="1348"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0.28</w:t>
            </w:r>
          </w:p>
        </w:tc>
        <w:tc>
          <w:tcPr>
            <w:tcW w:w="1147" w:type="dxa"/>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Cs w:val="28"/>
              </w:rPr>
            </w:pPr>
            <w:r>
              <w:rPr>
                <w:szCs w:val="28"/>
              </w:rPr>
              <w:t>48.66</w:t>
            </w:r>
          </w:p>
        </w:tc>
      </w:tr>
    </w:tbl>
    <w:p>
      <w:pPr>
        <w:widowControl/>
        <w:ind w:firstLine="0" w:firstLineChars="0"/>
        <w:jc w:val="left"/>
        <w:rPr>
          <w:rFonts w:hint="eastAsia"/>
          <w:szCs w:val="22"/>
        </w:rPr>
      </w:pPr>
    </w:p>
    <w:p>
      <w:pPr>
        <w:widowControl/>
        <w:ind w:firstLine="0" w:firstLineChars="0"/>
        <w:jc w:val="left"/>
        <w:rPr>
          <w:rFonts w:ascii="宋体" w:hAnsi="宋体" w:cs="宋体"/>
          <w:kern w:val="0"/>
        </w:rPr>
      </w:pPr>
      <w:r>
        <w:rPr>
          <w:rFonts w:hint="eastAsia"/>
          <w:szCs w:val="22"/>
        </w:rPr>
        <w:t>3、钢绞线束制作、安放</w:t>
      </w:r>
    </w:p>
    <w:p>
      <w:pPr>
        <w:widowControl/>
        <w:ind w:firstLine="0" w:firstLineChars="0"/>
        <w:jc w:val="right"/>
        <w:rPr>
          <w:rFonts w:ascii="宋体" w:hAnsi="宋体" w:cs="宋体"/>
          <w:kern w:val="0"/>
        </w:rPr>
      </w:pPr>
      <w:r>
        <w:rPr>
          <w:rFonts w:hint="eastAsia" w:ascii="宋体" w:hAnsi="宋体" w:cs="宋体"/>
          <w:kern w:val="0"/>
        </w:rPr>
        <w:t>计量单位：t</w:t>
      </w:r>
    </w:p>
    <w:tbl>
      <w:tblPr>
        <w:tblStyle w:val="22"/>
        <w:tblW w:w="9040" w:type="dxa"/>
        <w:tblInd w:w="0" w:type="dxa"/>
        <w:tblLayout w:type="autofit"/>
        <w:tblCellMar>
          <w:top w:w="0" w:type="dxa"/>
          <w:left w:w="0" w:type="dxa"/>
          <w:bottom w:w="0" w:type="dxa"/>
          <w:right w:w="0" w:type="dxa"/>
        </w:tblCellMar>
      </w:tblPr>
      <w:tblGrid>
        <w:gridCol w:w="864"/>
        <w:gridCol w:w="906"/>
        <w:gridCol w:w="2075"/>
        <w:gridCol w:w="617"/>
        <w:gridCol w:w="978"/>
        <w:gridCol w:w="794"/>
        <w:gridCol w:w="1126"/>
        <w:gridCol w:w="760"/>
        <w:gridCol w:w="920"/>
      </w:tblGrid>
      <w:tr>
        <w:tblPrEx>
          <w:tblCellMar>
            <w:top w:w="0" w:type="dxa"/>
            <w:left w:w="0" w:type="dxa"/>
            <w:bottom w:w="0" w:type="dxa"/>
            <w:right w:w="0" w:type="dxa"/>
          </w:tblCellMar>
        </w:tblPrEx>
        <w:trPr>
          <w:trHeight w:val="270" w:hRule="atLeast"/>
        </w:trPr>
        <w:tc>
          <w:tcPr>
            <w:tcW w:w="5440" w:type="dxa"/>
            <w:gridSpan w:val="5"/>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定额编号</w:t>
            </w:r>
          </w:p>
        </w:tc>
        <w:tc>
          <w:tcPr>
            <w:tcW w:w="1920"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苏补</w:t>
            </w:r>
            <w:r>
              <w:rPr>
                <w:sz w:val="22"/>
                <w:szCs w:val="22"/>
              </w:rPr>
              <w:t>4-1</w:t>
            </w:r>
          </w:p>
        </w:tc>
        <w:tc>
          <w:tcPr>
            <w:tcW w:w="1680" w:type="dxa"/>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苏补</w:t>
            </w:r>
            <w:r>
              <w:rPr>
                <w:sz w:val="22"/>
                <w:szCs w:val="22"/>
              </w:rPr>
              <w:t>4-2</w:t>
            </w:r>
          </w:p>
        </w:tc>
      </w:tr>
      <w:tr>
        <w:tblPrEx>
          <w:tblCellMar>
            <w:top w:w="0" w:type="dxa"/>
            <w:left w:w="0" w:type="dxa"/>
            <w:bottom w:w="0" w:type="dxa"/>
            <w:right w:w="0" w:type="dxa"/>
          </w:tblCellMar>
        </w:tblPrEx>
        <w:trPr>
          <w:cantSplit/>
          <w:trHeight w:val="270" w:hRule="atLeast"/>
        </w:trPr>
        <w:tc>
          <w:tcPr>
            <w:tcW w:w="0" w:type="auto"/>
            <w:gridSpan w:val="3"/>
            <w:vMerge w:val="restar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项目</w:t>
            </w:r>
          </w:p>
        </w:tc>
        <w:tc>
          <w:tcPr>
            <w:tcW w:w="0" w:type="auto"/>
            <w:vMerge w:val="restart"/>
            <w:tcBorders>
              <w:top w:val="nil"/>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单位</w:t>
            </w:r>
          </w:p>
        </w:tc>
        <w:tc>
          <w:tcPr>
            <w:tcW w:w="0" w:type="auto"/>
            <w:vMerge w:val="restart"/>
            <w:tcBorders>
              <w:top w:val="nil"/>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单价</w:t>
            </w:r>
          </w:p>
        </w:tc>
        <w:tc>
          <w:tcPr>
            <w:tcW w:w="0" w:type="auto"/>
            <w:gridSpan w:val="4"/>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钢绞线束制作、安放</w:t>
            </w:r>
          </w:p>
        </w:tc>
      </w:tr>
      <w:tr>
        <w:tblPrEx>
          <w:tblCellMar>
            <w:top w:w="0" w:type="dxa"/>
            <w:left w:w="0" w:type="dxa"/>
            <w:bottom w:w="0" w:type="dxa"/>
            <w:right w:w="0" w:type="dxa"/>
          </w:tblCellMar>
        </w:tblPrEx>
        <w:trPr>
          <w:cantSplit/>
          <w:trHeight w:val="270" w:hRule="atLeast"/>
        </w:trPr>
        <w:tc>
          <w:tcPr>
            <w:tcW w:w="0" w:type="auto"/>
            <w:gridSpan w:val="3"/>
            <w:vMerge w:val="continue"/>
            <w:tcBorders>
              <w:top w:val="single" w:color="auto" w:sz="4" w:space="0"/>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1920" w:type="dxa"/>
            <w:gridSpan w:val="2"/>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eastAsia="宋体"/>
                <w:sz w:val="22"/>
                <w:szCs w:val="22"/>
              </w:rPr>
            </w:pPr>
            <w:r>
              <w:rPr>
                <w:rFonts w:hint="eastAsia"/>
                <w:sz w:val="22"/>
                <w:szCs w:val="22"/>
              </w:rPr>
              <w:t>制作、安放</w:t>
            </w:r>
          </w:p>
          <w:p>
            <w:pPr>
              <w:ind w:firstLine="0" w:firstLineChars="0"/>
              <w:jc w:val="center"/>
              <w:rPr>
                <w:rFonts w:ascii="宋体" w:hAnsi="宋体"/>
                <w:sz w:val="22"/>
                <w:szCs w:val="22"/>
              </w:rPr>
            </w:pPr>
            <w:r>
              <w:rPr>
                <w:rFonts w:hint="eastAsia"/>
                <w:sz w:val="22"/>
                <w:szCs w:val="22"/>
              </w:rPr>
              <w:t>钢绞线束</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锚具</w:t>
            </w:r>
          </w:p>
        </w:tc>
      </w:tr>
      <w:tr>
        <w:tblPrEx>
          <w:tblCellMar>
            <w:top w:w="0" w:type="dxa"/>
            <w:left w:w="0" w:type="dxa"/>
            <w:bottom w:w="0" w:type="dxa"/>
            <w:right w:w="0" w:type="dxa"/>
          </w:tblCellMar>
        </w:tblPrEx>
        <w:trPr>
          <w:cantSplit/>
          <w:trHeight w:val="270" w:hRule="atLeast"/>
        </w:trPr>
        <w:tc>
          <w:tcPr>
            <w:tcW w:w="0" w:type="auto"/>
            <w:gridSpan w:val="3"/>
            <w:vMerge w:val="continue"/>
            <w:tcBorders>
              <w:top w:val="single" w:color="auto" w:sz="4" w:space="0"/>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gridSpan w:val="2"/>
            <w:vMerge w:val="continue"/>
            <w:tcBorders>
              <w:top w:val="single" w:color="auto" w:sz="4" w:space="0"/>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10孔</w:t>
            </w:r>
          </w:p>
        </w:tc>
      </w:tr>
      <w:tr>
        <w:tblPrEx>
          <w:tblCellMar>
            <w:top w:w="0" w:type="dxa"/>
            <w:left w:w="0" w:type="dxa"/>
            <w:bottom w:w="0" w:type="dxa"/>
            <w:right w:w="0" w:type="dxa"/>
          </w:tblCellMar>
        </w:tblPrEx>
        <w:trPr>
          <w:cantSplit/>
          <w:trHeight w:val="270" w:hRule="atLeast"/>
        </w:trPr>
        <w:tc>
          <w:tcPr>
            <w:tcW w:w="0" w:type="auto"/>
            <w:gridSpan w:val="3"/>
            <w:vMerge w:val="continue"/>
            <w:tcBorders>
              <w:top w:val="single" w:color="auto" w:sz="4" w:space="0"/>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数量</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合价</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数量</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合价</w:t>
            </w:r>
          </w:p>
        </w:tc>
      </w:tr>
      <w:tr>
        <w:tblPrEx>
          <w:tblCellMar>
            <w:top w:w="0" w:type="dxa"/>
            <w:left w:w="0" w:type="dxa"/>
            <w:bottom w:w="0" w:type="dxa"/>
            <w:right w:w="0" w:type="dxa"/>
          </w:tblCellMar>
        </w:tblPrEx>
        <w:trPr>
          <w:trHeight w:val="270" w:hRule="atLeast"/>
        </w:trPr>
        <w:tc>
          <w:tcPr>
            <w:tcW w:w="0" w:type="auto"/>
            <w:gridSpan w:val="4"/>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综合单价</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6744.07</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1552.53</w:t>
            </w:r>
          </w:p>
        </w:tc>
      </w:tr>
      <w:tr>
        <w:tblPrEx>
          <w:tblCellMar>
            <w:top w:w="0" w:type="dxa"/>
            <w:left w:w="0" w:type="dxa"/>
            <w:bottom w:w="0" w:type="dxa"/>
            <w:right w:w="0" w:type="dxa"/>
          </w:tblCellMar>
        </w:tblPrEx>
        <w:trPr>
          <w:cantSplit/>
          <w:trHeight w:val="270" w:hRule="atLeast"/>
        </w:trPr>
        <w:tc>
          <w:tcPr>
            <w:tcW w:w="725" w:type="dxa"/>
            <w:vMerge w:val="restar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其中</w:t>
            </w:r>
          </w:p>
        </w:tc>
        <w:tc>
          <w:tcPr>
            <w:tcW w:w="0" w:type="auto"/>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人工费</w:t>
            </w:r>
          </w:p>
        </w:tc>
        <w:tc>
          <w:tcPr>
            <w:tcW w:w="0" w:type="auto"/>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673.40</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86.58</w:t>
            </w:r>
          </w:p>
        </w:tc>
      </w:tr>
      <w:tr>
        <w:tblPrEx>
          <w:tblCellMar>
            <w:top w:w="0" w:type="dxa"/>
            <w:left w:w="0" w:type="dxa"/>
            <w:bottom w:w="0" w:type="dxa"/>
            <w:right w:w="0" w:type="dxa"/>
          </w:tblCellMar>
        </w:tblPrEx>
        <w:trPr>
          <w:cantSplit/>
          <w:trHeight w:val="595" w:hRule="exact"/>
        </w:trPr>
        <w:tc>
          <w:tcPr>
            <w:tcW w:w="0" w:type="auto"/>
            <w:vMerge w:val="continue"/>
            <w:tcBorders>
              <w:top w:val="single" w:color="auto" w:sz="4" w:space="0"/>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材料费</w:t>
            </w:r>
          </w:p>
        </w:tc>
        <w:tc>
          <w:tcPr>
            <w:tcW w:w="0" w:type="auto"/>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5573.02</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1263.97</w:t>
            </w:r>
          </w:p>
        </w:tc>
      </w:tr>
      <w:tr>
        <w:tblPrEx>
          <w:tblCellMar>
            <w:top w:w="0" w:type="dxa"/>
            <w:left w:w="0" w:type="dxa"/>
            <w:bottom w:w="0" w:type="dxa"/>
            <w:right w:w="0" w:type="dxa"/>
          </w:tblCellMar>
        </w:tblPrEx>
        <w:trPr>
          <w:cantSplit/>
          <w:trHeight w:val="595" w:hRule="exac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机械费</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181.38</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124.05</w:t>
            </w:r>
          </w:p>
        </w:tc>
      </w:tr>
      <w:tr>
        <w:tblPrEx>
          <w:tblCellMar>
            <w:top w:w="0" w:type="dxa"/>
            <w:left w:w="0" w:type="dxa"/>
            <w:bottom w:w="0" w:type="dxa"/>
            <w:right w:w="0" w:type="dxa"/>
          </w:tblCellMar>
        </w:tblPrEx>
        <w:trPr>
          <w:cantSplit/>
          <w:trHeight w:val="595" w:hRule="exac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管理费</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213.69</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52.66</w:t>
            </w:r>
          </w:p>
        </w:tc>
      </w:tr>
      <w:tr>
        <w:tblPrEx>
          <w:tblCellMar>
            <w:top w:w="0" w:type="dxa"/>
            <w:left w:w="0" w:type="dxa"/>
            <w:bottom w:w="0" w:type="dxa"/>
            <w:right w:w="0" w:type="dxa"/>
          </w:tblCellMar>
        </w:tblPrEx>
        <w:trPr>
          <w:cantSplit/>
          <w:trHeight w:val="595" w:hRule="exact"/>
        </w:trPr>
        <w:tc>
          <w:tcPr>
            <w:tcW w:w="0" w:type="auto"/>
            <w:vMerge w:val="continue"/>
            <w:tcBorders>
              <w:top w:val="nil"/>
              <w:left w:val="single" w:color="auto" w:sz="4" w:space="0"/>
              <w:bottom w:val="single" w:color="auto" w:sz="4" w:space="0"/>
              <w:right w:val="single" w:color="auto" w:sz="4" w:space="0"/>
            </w:tcBorders>
            <w:vAlign w:val="center"/>
          </w:tcPr>
          <w:p>
            <w:pPr>
              <w:ind w:firstLine="0" w:firstLineChars="0"/>
              <w:rPr>
                <w:rFonts w:ascii="宋体" w:hAnsi="宋体"/>
                <w:sz w:val="22"/>
                <w:szCs w:val="22"/>
              </w:rPr>
            </w:pPr>
          </w:p>
        </w:tc>
        <w:tc>
          <w:tcPr>
            <w:tcW w:w="0" w:type="auto"/>
            <w:gridSpan w:val="3"/>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利润</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102.57</w:t>
            </w:r>
          </w:p>
        </w:tc>
        <w:tc>
          <w:tcPr>
            <w:tcW w:w="0" w:type="auto"/>
            <w:gridSpan w:val="2"/>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25.28</w:t>
            </w:r>
          </w:p>
        </w:tc>
      </w:tr>
      <w:tr>
        <w:tblPrEx>
          <w:tblCellMar>
            <w:top w:w="0" w:type="dxa"/>
            <w:left w:w="0" w:type="dxa"/>
            <w:bottom w:w="0" w:type="dxa"/>
            <w:right w:w="0" w:type="dxa"/>
          </w:tblCellMar>
        </w:tblPrEx>
        <w:trPr>
          <w:trHeight w:val="595" w:hRule="exact"/>
        </w:trPr>
        <w:tc>
          <w:tcPr>
            <w:tcW w:w="0" w:type="auto"/>
            <w:gridSpan w:val="3"/>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二类工</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工日</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26.00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25.90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673.40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3.33</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86.58</w:t>
            </w:r>
          </w:p>
        </w:tc>
      </w:tr>
      <w:tr>
        <w:tblPrEx>
          <w:tblCellMar>
            <w:top w:w="0" w:type="dxa"/>
            <w:left w:w="0" w:type="dxa"/>
            <w:bottom w:w="0" w:type="dxa"/>
            <w:right w:w="0" w:type="dxa"/>
          </w:tblCellMar>
        </w:tblPrEx>
        <w:trPr>
          <w:cantSplit/>
          <w:trHeight w:val="567" w:hRule="exact"/>
        </w:trPr>
        <w:tc>
          <w:tcPr>
            <w:tcW w:w="0" w:type="auto"/>
            <w:vMerge w:val="restart"/>
            <w:tcBorders>
              <w:top w:val="single" w:color="auto" w:sz="4" w:space="0"/>
              <w:left w:val="single" w:color="auto" w:sz="4" w:space="0"/>
              <w:bottom w:val="single" w:color="000000" w:sz="4" w:space="0"/>
              <w:right w:val="nil"/>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Cs w:val="28"/>
              </w:rPr>
              <w:t>材料</w:t>
            </w:r>
            <w:r>
              <w:rPr>
                <w:rFonts w:hint="eastAsia"/>
                <w:sz w:val="22"/>
                <w:szCs w:val="22"/>
              </w:rPr>
              <w:t>　</w:t>
            </w:r>
          </w:p>
        </w:tc>
        <w:tc>
          <w:tcPr>
            <w:tcW w:w="0" w:type="auto"/>
            <w:tcBorders>
              <w:top w:val="single" w:color="auto" w:sz="4" w:space="0"/>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502047</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钢丝绳</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sz w:val="22"/>
                <w:szCs w:val="22"/>
              </w:rPr>
              <w:t>kg</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5.32</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18.00</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95.76</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502101</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有粘结钢绞线</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sz w:val="22"/>
                <w:szCs w:val="22"/>
              </w:rPr>
              <w:t>t</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4794.00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1.05</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5033.70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509006</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电焊条结</w:t>
            </w:r>
            <w:r>
              <w:rPr>
                <w:sz w:val="22"/>
                <w:szCs w:val="22"/>
              </w:rPr>
              <w:t>422</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sz w:val="22"/>
                <w:szCs w:val="22"/>
              </w:rPr>
              <w:t>kg</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3.60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5.59</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20.12</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0.63</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2.27</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510053</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钢插销摊销</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个</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15.00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6.00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90.00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510127</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镀锌铁丝</w:t>
            </w:r>
            <w:r>
              <w:rPr>
                <w:sz w:val="22"/>
                <w:szCs w:val="22"/>
              </w:rPr>
              <w:t xml:space="preserve"> 22#</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sz w:val="22"/>
                <w:szCs w:val="22"/>
              </w:rPr>
              <w:t>kg</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3.90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1.10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4.29</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0.09</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0.35</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605283</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塑料卡</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只</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0.20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98.00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19.60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605353</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jc w:val="left"/>
              <w:rPr>
                <w:rFonts w:ascii="宋体" w:hAnsi="宋体"/>
                <w:sz w:val="22"/>
                <w:szCs w:val="22"/>
              </w:rPr>
            </w:pPr>
            <w:r>
              <w:rPr>
                <w:rFonts w:hint="eastAsia"/>
                <w:sz w:val="22"/>
                <w:szCs w:val="22"/>
              </w:rPr>
              <w:t>增强塑料水</w:t>
            </w:r>
            <w:r>
              <w:rPr>
                <w:sz w:val="22"/>
                <w:szCs w:val="22"/>
              </w:rPr>
              <w:t>φ25mm</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sz w:val="22"/>
                <w:szCs w:val="22"/>
              </w:rPr>
              <w:t>m</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2.85</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23.00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65.55</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502093</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螺旋筋</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只</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38.00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3.24</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123.12</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511237</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挤压锚</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孔</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15.20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10.30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156.56</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208015</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砂轮片φ</w:t>
            </w:r>
            <w:r>
              <w:rPr>
                <w:sz w:val="22"/>
                <w:szCs w:val="22"/>
              </w:rPr>
              <w:t>110mm</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片</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11.60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3.78</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43.85</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511415</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锚垫板</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只</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38.00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3.24</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123.12</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511416</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锚具</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孔</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26.60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10.30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273.98</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605282</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锚固铰链夹</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套</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88.00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440.00</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605294</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塑料穴模</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套</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3.80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10.50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39.90</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000000"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901123</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挤压模摊销费</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孔</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3.80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10.00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38.00</w:t>
            </w:r>
          </w:p>
        </w:tc>
      </w:tr>
      <w:tr>
        <w:tblPrEx>
          <w:tblCellMar>
            <w:top w:w="0" w:type="dxa"/>
            <w:left w:w="0" w:type="dxa"/>
            <w:bottom w:w="0" w:type="dxa"/>
            <w:right w:w="0" w:type="dxa"/>
          </w:tblCellMar>
        </w:tblPrEx>
        <w:trPr>
          <w:cantSplit/>
          <w:trHeight w:val="567" w:hRule="exact"/>
        </w:trPr>
        <w:tc>
          <w:tcPr>
            <w:tcW w:w="0" w:type="auto"/>
            <w:vMerge w:val="continue"/>
            <w:tcBorders>
              <w:top w:val="single" w:color="auto" w:sz="4" w:space="0"/>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901167</w:t>
            </w:r>
          </w:p>
        </w:tc>
        <w:tc>
          <w:tcPr>
            <w:tcW w:w="2053"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其他材料费</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244.00</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22.82</w:t>
            </w:r>
          </w:p>
        </w:tc>
      </w:tr>
      <w:tr>
        <w:tblPrEx>
          <w:tblCellMar>
            <w:top w:w="0" w:type="dxa"/>
            <w:left w:w="0" w:type="dxa"/>
            <w:bottom w:w="0" w:type="dxa"/>
            <w:right w:w="0" w:type="dxa"/>
          </w:tblCellMar>
        </w:tblPrEx>
        <w:trPr>
          <w:cantSplit/>
          <w:trHeight w:val="270" w:hRule="atLeast"/>
        </w:trPr>
        <w:tc>
          <w:tcPr>
            <w:tcW w:w="0" w:type="auto"/>
            <w:vMerge w:val="restart"/>
            <w:tcBorders>
              <w:top w:val="single" w:color="auto" w:sz="4" w:space="0"/>
              <w:left w:val="single" w:color="auto" w:sz="4" w:space="0"/>
              <w:bottom w:val="single" w:color="auto" w:sz="4" w:space="0"/>
              <w:right w:val="nil"/>
            </w:tcBorders>
            <w:noWrap/>
            <w:tcMar>
              <w:top w:w="15" w:type="dxa"/>
              <w:left w:w="15" w:type="dxa"/>
              <w:bottom w:w="0" w:type="dxa"/>
              <w:right w:w="15" w:type="dxa"/>
            </w:tcMar>
            <w:vAlign w:val="center"/>
          </w:tcPr>
          <w:p>
            <w:pPr>
              <w:ind w:firstLine="0" w:firstLineChars="0"/>
              <w:jc w:val="center"/>
              <w:rPr>
                <w:rFonts w:ascii="宋体" w:hAnsi="宋体"/>
                <w:sz w:val="22"/>
                <w:szCs w:val="22"/>
              </w:rPr>
            </w:pPr>
            <w:r>
              <w:rPr>
                <w:rFonts w:hint="eastAsia"/>
                <w:sz w:val="22"/>
                <w:szCs w:val="22"/>
              </w:rPr>
              <w:t>机械</w:t>
            </w:r>
          </w:p>
        </w:tc>
        <w:tc>
          <w:tcPr>
            <w:tcW w:w="0" w:type="auto"/>
            <w:tcBorders>
              <w:top w:val="single" w:color="auto" w:sz="4" w:space="0"/>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013096</w:t>
            </w:r>
          </w:p>
        </w:tc>
        <w:tc>
          <w:tcPr>
            <w:tcW w:w="2053" w:type="dxa"/>
            <w:tcBorders>
              <w:top w:val="single" w:color="auto" w:sz="4" w:space="0"/>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交流电焊机</w:t>
            </w:r>
            <w:r>
              <w:rPr>
                <w:sz w:val="22"/>
                <w:szCs w:val="22"/>
              </w:rPr>
              <w:t>30KVA</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台班</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111.25</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1.58</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175.78</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0.179</w:t>
            </w:r>
          </w:p>
        </w:tc>
        <w:tc>
          <w:tcPr>
            <w:tcW w:w="0" w:type="auto"/>
            <w:tcBorders>
              <w:top w:val="single" w:color="auto" w:sz="4" w:space="0"/>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19.91</w:t>
            </w:r>
          </w:p>
        </w:tc>
      </w:tr>
      <w:tr>
        <w:tblPrEx>
          <w:tblCellMar>
            <w:top w:w="0" w:type="dxa"/>
            <w:left w:w="0" w:type="dxa"/>
            <w:bottom w:w="0" w:type="dxa"/>
            <w:right w:w="0" w:type="dxa"/>
          </w:tblCellMar>
        </w:tblPrEx>
        <w:trPr>
          <w:cantSplit/>
          <w:trHeight w:val="540" w:hRule="atLeast"/>
        </w:trPr>
        <w:tc>
          <w:tcPr>
            <w:tcW w:w="0" w:type="auto"/>
            <w:vMerge w:val="continue"/>
            <w:tcBorders>
              <w:top w:val="nil"/>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007009</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预应力钢筋拉伸机</w:t>
            </w:r>
            <w:r>
              <w:rPr>
                <w:sz w:val="22"/>
                <w:szCs w:val="22"/>
              </w:rPr>
              <w:t>120t</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台班</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65.74</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0.31</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20.05</w:t>
            </w:r>
          </w:p>
        </w:tc>
      </w:tr>
      <w:tr>
        <w:tblPrEx>
          <w:tblCellMar>
            <w:top w:w="0" w:type="dxa"/>
            <w:left w:w="0" w:type="dxa"/>
            <w:bottom w:w="0" w:type="dxa"/>
            <w:right w:w="0" w:type="dxa"/>
          </w:tblCellMar>
        </w:tblPrEx>
        <w:trPr>
          <w:cantSplit/>
          <w:trHeight w:val="585" w:hRule="atLeast"/>
        </w:trPr>
        <w:tc>
          <w:tcPr>
            <w:tcW w:w="0" w:type="auto"/>
            <w:vMerge w:val="continue"/>
            <w:tcBorders>
              <w:top w:val="nil"/>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008036</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高压油泵压力</w:t>
            </w:r>
            <w:r>
              <w:rPr>
                <w:sz w:val="22"/>
                <w:szCs w:val="22"/>
              </w:rPr>
              <w:t>50MPA/cm</w:t>
            </w:r>
            <w:r>
              <w:rPr>
                <w:sz w:val="22"/>
                <w:szCs w:val="22"/>
                <w:vertAlign w:val="superscript"/>
              </w:rPr>
              <w:t>3</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台班</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144.82</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0.45</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64.44</w:t>
            </w:r>
          </w:p>
        </w:tc>
      </w:tr>
      <w:tr>
        <w:tblPrEx>
          <w:tblCellMar>
            <w:top w:w="0" w:type="dxa"/>
            <w:left w:w="0" w:type="dxa"/>
            <w:bottom w:w="0" w:type="dxa"/>
            <w:right w:w="0" w:type="dxa"/>
          </w:tblCellMar>
        </w:tblPrEx>
        <w:trPr>
          <w:cantSplit/>
          <w:trHeight w:val="270" w:hRule="atLeast"/>
        </w:trPr>
        <w:tc>
          <w:tcPr>
            <w:tcW w:w="0" w:type="auto"/>
            <w:vMerge w:val="continue"/>
            <w:tcBorders>
              <w:top w:val="nil"/>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013089</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砂轮切割机φ</w:t>
            </w:r>
            <w:r>
              <w:rPr>
                <w:sz w:val="22"/>
                <w:szCs w:val="22"/>
              </w:rPr>
              <w:t>400mm</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台班</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21.28</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0.28</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5.98</w:t>
            </w:r>
          </w:p>
        </w:tc>
      </w:tr>
      <w:tr>
        <w:tblPrEx>
          <w:tblCellMar>
            <w:top w:w="0" w:type="dxa"/>
            <w:left w:w="0" w:type="dxa"/>
            <w:bottom w:w="0" w:type="dxa"/>
            <w:right w:w="0" w:type="dxa"/>
          </w:tblCellMar>
        </w:tblPrEx>
        <w:trPr>
          <w:cantSplit/>
          <w:trHeight w:val="270" w:hRule="atLeast"/>
        </w:trPr>
        <w:tc>
          <w:tcPr>
            <w:tcW w:w="0" w:type="auto"/>
            <w:vMerge w:val="continue"/>
            <w:tcBorders>
              <w:top w:val="nil"/>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015005</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液压挤压机</w:t>
            </w:r>
            <w:r>
              <w:rPr>
                <w:sz w:val="22"/>
                <w:szCs w:val="22"/>
              </w:rPr>
              <w:t>500KN</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台班</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44.00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0.14</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6.20</w:t>
            </w:r>
          </w:p>
        </w:tc>
      </w:tr>
      <w:tr>
        <w:tblPrEx>
          <w:tblCellMar>
            <w:top w:w="0" w:type="dxa"/>
            <w:left w:w="0" w:type="dxa"/>
            <w:bottom w:w="0" w:type="dxa"/>
            <w:right w:w="0" w:type="dxa"/>
          </w:tblCellMar>
        </w:tblPrEx>
        <w:trPr>
          <w:cantSplit/>
          <w:trHeight w:val="270" w:hRule="atLeast"/>
        </w:trPr>
        <w:tc>
          <w:tcPr>
            <w:tcW w:w="0" w:type="auto"/>
            <w:vMerge w:val="continue"/>
            <w:tcBorders>
              <w:top w:val="nil"/>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nil"/>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015009</w:t>
            </w:r>
          </w:p>
        </w:tc>
        <w:tc>
          <w:tcPr>
            <w:tcW w:w="2053" w:type="dxa"/>
            <w:tcBorders>
              <w:top w:val="nil"/>
              <w:left w:val="nil"/>
              <w:bottom w:val="nil"/>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手提砂轮机φ</w:t>
            </w:r>
            <w:r>
              <w:rPr>
                <w:sz w:val="22"/>
                <w:szCs w:val="22"/>
              </w:rPr>
              <w:t>150mm</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台班</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12.00</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　</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0.43</w:t>
            </w:r>
          </w:p>
        </w:tc>
        <w:tc>
          <w:tcPr>
            <w:tcW w:w="0" w:type="auto"/>
            <w:tcBorders>
              <w:top w:val="nil"/>
              <w:left w:val="nil"/>
              <w:bottom w:val="nil"/>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5.16</w:t>
            </w:r>
          </w:p>
        </w:tc>
      </w:tr>
      <w:tr>
        <w:tblPrEx>
          <w:tblCellMar>
            <w:top w:w="0" w:type="dxa"/>
            <w:left w:w="0" w:type="dxa"/>
            <w:bottom w:w="0" w:type="dxa"/>
            <w:right w:w="0" w:type="dxa"/>
          </w:tblCellMar>
        </w:tblPrEx>
        <w:trPr>
          <w:cantSplit/>
          <w:trHeight w:val="270" w:hRule="atLeast"/>
        </w:trPr>
        <w:tc>
          <w:tcPr>
            <w:tcW w:w="0" w:type="auto"/>
            <w:vMerge w:val="continue"/>
            <w:tcBorders>
              <w:top w:val="nil"/>
              <w:left w:val="single" w:color="auto" w:sz="4" w:space="0"/>
              <w:bottom w:val="single" w:color="auto" w:sz="4" w:space="0"/>
              <w:right w:val="nil"/>
            </w:tcBorders>
            <w:vAlign w:val="center"/>
          </w:tcPr>
          <w:p>
            <w:pPr>
              <w:ind w:firstLine="0" w:firstLineChars="0"/>
              <w:rPr>
                <w:rFonts w:ascii="宋体" w:hAnsi="宋体"/>
                <w:sz w:val="22"/>
                <w:szCs w:val="22"/>
              </w:rPr>
            </w:pPr>
          </w:p>
        </w:tc>
        <w:tc>
          <w:tcPr>
            <w:tcW w:w="0" w:type="auto"/>
            <w:tcBorders>
              <w:top w:val="nil"/>
              <w:left w:val="single" w:color="auto" w:sz="4" w:space="0"/>
              <w:bottom w:val="single" w:color="auto" w:sz="4" w:space="0"/>
              <w:right w:val="single" w:color="auto" w:sz="4" w:space="0"/>
            </w:tcBorders>
            <w:noWrap/>
            <w:tcMar>
              <w:top w:w="15" w:type="dxa"/>
              <w:left w:w="15" w:type="dxa"/>
              <w:bottom w:w="0" w:type="dxa"/>
              <w:right w:w="15" w:type="dxa"/>
            </w:tcMar>
            <w:vAlign w:val="center"/>
          </w:tcPr>
          <w:p>
            <w:pPr>
              <w:ind w:firstLine="0" w:firstLineChars="0"/>
              <w:jc w:val="center"/>
              <w:rPr>
                <w:rFonts w:ascii="宋体" w:hAnsi="宋体"/>
                <w:sz w:val="22"/>
                <w:szCs w:val="22"/>
              </w:rPr>
            </w:pPr>
            <w:r>
              <w:rPr>
                <w:sz w:val="22"/>
                <w:szCs w:val="22"/>
              </w:rPr>
              <w:t>015013</w:t>
            </w:r>
          </w:p>
        </w:tc>
        <w:tc>
          <w:tcPr>
            <w:tcW w:w="2053"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其他机械费</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rPr>
                <w:rFonts w:ascii="宋体" w:hAnsi="宋体"/>
                <w:sz w:val="22"/>
                <w:szCs w:val="22"/>
              </w:rPr>
            </w:pPr>
            <w:r>
              <w:rPr>
                <w:rFonts w:hint="eastAsia"/>
                <w:sz w:val="22"/>
                <w:szCs w:val="22"/>
              </w:rPr>
              <w:t>元</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5.60</w:t>
            </w: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p>
        </w:tc>
        <w:tc>
          <w:tcPr>
            <w:tcW w:w="0" w:type="auto"/>
            <w:tcBorders>
              <w:top w:val="nil"/>
              <w:left w:val="nil"/>
              <w:bottom w:val="single" w:color="auto" w:sz="4" w:space="0"/>
              <w:right w:val="single" w:color="auto" w:sz="4" w:space="0"/>
            </w:tcBorders>
            <w:noWrap/>
            <w:tcMar>
              <w:top w:w="15" w:type="dxa"/>
              <w:left w:w="15" w:type="dxa"/>
              <w:bottom w:w="0" w:type="dxa"/>
              <w:right w:w="15" w:type="dxa"/>
            </w:tcMar>
            <w:vAlign w:val="center"/>
          </w:tcPr>
          <w:p>
            <w:pPr>
              <w:ind w:firstLine="0" w:firstLineChars="0"/>
              <w:jc w:val="right"/>
              <w:rPr>
                <w:rFonts w:ascii="宋体" w:hAnsi="宋体"/>
                <w:sz w:val="22"/>
                <w:szCs w:val="22"/>
              </w:rPr>
            </w:pPr>
            <w:r>
              <w:rPr>
                <w:sz w:val="22"/>
                <w:szCs w:val="22"/>
              </w:rPr>
              <w:t>2.30</w:t>
            </w:r>
          </w:p>
        </w:tc>
      </w:tr>
    </w:tbl>
    <w:p>
      <w:pPr>
        <w:widowControl/>
        <w:ind w:firstLine="560"/>
        <w:rPr>
          <w:kern w:val="0"/>
        </w:rPr>
      </w:pPr>
    </w:p>
    <w:p>
      <w:pPr>
        <w:pStyle w:val="5"/>
        <w:rPr>
          <w:rFonts w:ascii="华文中宋" w:eastAsia="华文中宋"/>
          <w:w w:val="80"/>
          <w:sz w:val="84"/>
        </w:rPr>
      </w:pPr>
      <w:r>
        <w:br w:type="page"/>
      </w:r>
      <w:bookmarkStart w:id="1738" w:name="_Toc9183"/>
      <w:bookmarkStart w:id="1739" w:name="_Toc28518"/>
      <w:bookmarkStart w:id="1740" w:name="_Toc17470"/>
      <w:bookmarkStart w:id="1741" w:name="_Toc1496"/>
      <w:bookmarkStart w:id="1742" w:name="_Toc4331"/>
      <w:bookmarkStart w:id="1743" w:name="_Toc5157"/>
      <w:bookmarkStart w:id="1744" w:name="_Toc9478"/>
      <w:r>
        <w:rPr>
          <w:rFonts w:hint="eastAsia" w:ascii="华文中宋" w:eastAsia="华文中宋"/>
          <w:w w:val="80"/>
          <w:sz w:val="84"/>
        </w:rPr>
        <w:t>苏州市工程造价管理处文件</w:t>
      </w:r>
      <w:bookmarkEnd w:id="1738"/>
      <w:bookmarkEnd w:id="1739"/>
      <w:bookmarkEnd w:id="1740"/>
      <w:bookmarkEnd w:id="1741"/>
      <w:bookmarkEnd w:id="1742"/>
      <w:bookmarkEnd w:id="1743"/>
      <w:bookmarkEnd w:id="1744"/>
    </w:p>
    <w:p>
      <w:pPr>
        <w:pStyle w:val="5"/>
      </w:pPr>
    </w:p>
    <w:p>
      <w:pPr>
        <w:pStyle w:val="4"/>
      </w:pPr>
      <w:bookmarkStart w:id="1745" w:name="_Toc9265"/>
      <w:bookmarkStart w:id="1746" w:name="_Toc30248"/>
      <w:bookmarkStart w:id="1747" w:name="_Toc15043"/>
      <w:bookmarkStart w:id="1748" w:name="_Toc3997"/>
      <w:bookmarkStart w:id="1749" w:name="_Toc28165"/>
      <w:bookmarkStart w:id="1750" w:name="_Toc31945"/>
      <w:bookmarkStart w:id="1751" w:name="_Toc24335"/>
      <w:bookmarkStart w:id="1752" w:name="_Toc7261"/>
      <w:bookmarkStart w:id="1753" w:name="_Toc6964"/>
      <w:bookmarkStart w:id="1754" w:name="_Toc22881"/>
      <w:bookmarkStart w:id="1755" w:name="_Toc28135"/>
      <w:r>
        <w:rPr>
          <w:rFonts w:hint="eastAsia"/>
        </w:rPr>
        <w:t>苏工价〔2010〕11号</w:t>
      </w:r>
      <w:bookmarkEnd w:id="1745"/>
      <w:bookmarkEnd w:id="1746"/>
      <w:bookmarkEnd w:id="1747"/>
      <w:bookmarkEnd w:id="1748"/>
      <w:bookmarkEnd w:id="1749"/>
      <w:bookmarkEnd w:id="1750"/>
      <w:bookmarkEnd w:id="1751"/>
      <w:bookmarkEnd w:id="1752"/>
      <w:bookmarkEnd w:id="1753"/>
      <w:bookmarkEnd w:id="1754"/>
      <w:bookmarkEnd w:id="1755"/>
    </w:p>
    <w:p>
      <w:pPr>
        <w:ind w:firstLine="560"/>
      </w:pPr>
    </w:p>
    <w:p>
      <w:pPr>
        <w:ind w:firstLine="4480" w:firstLineChars="1400"/>
        <w:rPr>
          <w:rFonts w:ascii="黑体" w:eastAsia="黑体"/>
          <w:color w:val="FF0000"/>
          <w:sz w:val="32"/>
        </w:rPr>
      </w:pPr>
      <w:r>
        <w:rPr>
          <w:rFonts w:ascii="黑体" w:eastAsia="黑体"/>
          <w:color w:val="FF0000"/>
          <w:sz w:val="32"/>
        </w:rPr>
        <mc:AlternateContent>
          <mc:Choice Requires="wps">
            <w:drawing>
              <wp:anchor distT="0" distB="0" distL="114300" distR="114300" simplePos="0" relativeHeight="251693056" behindDoc="0" locked="0" layoutInCell="1" allowOverlap="1">
                <wp:simplePos x="0" y="0"/>
                <wp:positionH relativeFrom="column">
                  <wp:posOffset>3246120</wp:posOffset>
                </wp:positionH>
                <wp:positionV relativeFrom="paragraph">
                  <wp:posOffset>198120</wp:posOffset>
                </wp:positionV>
                <wp:extent cx="2286000" cy="0"/>
                <wp:effectExtent l="0" t="0" r="0" b="0"/>
                <wp:wrapNone/>
                <wp:docPr id="86" name="直接连接符 86"/>
                <wp:cNvGraphicFramePr/>
                <a:graphic xmlns:a="http://schemas.openxmlformats.org/drawingml/2006/main">
                  <a:graphicData uri="http://schemas.microsoft.com/office/word/2010/wordprocessingShape">
                    <wps:wsp>
                      <wps:cNvCnPr/>
                      <wps:spPr>
                        <a:xfrm>
                          <a:off x="0" y="0"/>
                          <a:ext cx="2286000" cy="0"/>
                        </a:xfrm>
                        <a:prstGeom prst="line">
                          <a:avLst/>
                        </a:prstGeom>
                        <a:ln w="1270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255.6pt;margin-top:15.6pt;height:0pt;width:180pt;z-index:251693056;mso-width-relative:page;mso-height-relative:page;" filled="f" stroked="t" coordsize="21600,21600" o:gfxdata="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zD&#10;VtjWAAAACQEAAA8AAAAAAAAAAQAgAAAAIgAAAGRycy9kb3ducmV2LnhtbFBLAQIUABQAAAAIAIdO&#10;4kD2qpLI7AEAANsDAAAOAAAAAAAAAAEAIAAAACUBAABkcnMvZTJvRG9jLnhtbFBLBQYAAAAABgAG&#10;AFkBAACDBQAAAAA=&#10;">
                <v:fill on="f" focussize="0,0"/>
                <v:stroke weight="1pt" color="#FF0000" joinstyle="round"/>
                <v:imagedata o:title=""/>
                <o:lock v:ext="edit" aspectratio="f"/>
              </v:line>
            </w:pict>
          </mc:Fallback>
        </mc:AlternateContent>
      </w:r>
      <w:r>
        <w:rPr>
          <w:rFonts w:ascii="黑体" w:eastAsia="黑体"/>
          <w:color w:val="FF0000"/>
          <w:sz w:val="32"/>
        </w:rPr>
        <mc:AlternateContent>
          <mc:Choice Requires="wps">
            <w:drawing>
              <wp:anchor distT="0" distB="0" distL="114300" distR="114300" simplePos="0" relativeHeight="251692032" behindDoc="0" locked="0" layoutInCell="1" allowOverlap="1">
                <wp:simplePos x="0" y="0"/>
                <wp:positionH relativeFrom="column">
                  <wp:posOffset>266700</wp:posOffset>
                </wp:positionH>
                <wp:positionV relativeFrom="paragraph">
                  <wp:posOffset>198120</wp:posOffset>
                </wp:positionV>
                <wp:extent cx="2400300" cy="0"/>
                <wp:effectExtent l="0" t="0" r="0" b="0"/>
                <wp:wrapNone/>
                <wp:docPr id="85" name="直接连接符 85"/>
                <wp:cNvGraphicFramePr/>
                <a:graphic xmlns:a="http://schemas.openxmlformats.org/drawingml/2006/main">
                  <a:graphicData uri="http://schemas.microsoft.com/office/word/2010/wordprocessingShape">
                    <wps:wsp>
                      <wps:cNvCnPr/>
                      <wps:spPr>
                        <a:xfrm>
                          <a:off x="0" y="0"/>
                          <a:ext cx="2400300" cy="0"/>
                        </a:xfrm>
                        <a:prstGeom prst="line">
                          <a:avLst/>
                        </a:prstGeom>
                        <a:ln w="1270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21pt;margin-top:15.6pt;height:0pt;width:189pt;z-index:251692032;mso-width-relative:page;mso-height-relative:page;" filled="f" stroked="t" coordsize="21600,21600" o:gfxdata="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H&#10;7rVF1AAAAAgBAAAPAAAAAAAAAAEAIAAAACIAAABkcnMvZG93bnJldi54bWxQSwECFAAUAAAACACH&#10;TuJAajcFJu8BAADbAwAADgAAAAAAAAABACAAAAAjAQAAZHJzL2Uyb0RvYy54bWxQSwUGAAAAAAYA&#10;BgBZAQAAhAUAAAAA&#10;">
                <v:fill on="f" focussize="0,0"/>
                <v:stroke weight="1pt" color="#FF0000" joinstyle="round"/>
                <v:imagedata o:title=""/>
                <o:lock v:ext="edit" aspectratio="f"/>
              </v:line>
            </w:pict>
          </mc:Fallback>
        </mc:AlternateContent>
      </w:r>
      <w:r>
        <w:rPr>
          <w:rFonts w:hint="eastAsia" w:ascii="黑体" w:eastAsia="黑体"/>
          <w:color w:val="FF0000"/>
          <w:sz w:val="32"/>
        </w:rPr>
        <w:t>★</w:t>
      </w:r>
    </w:p>
    <w:p>
      <w:pPr>
        <w:ind w:firstLine="640"/>
        <w:jc w:val="center"/>
        <w:rPr>
          <w:rFonts w:ascii="黑体" w:eastAsia="黑体"/>
          <w:sz w:val="32"/>
        </w:rPr>
      </w:pPr>
    </w:p>
    <w:p>
      <w:pPr>
        <w:pStyle w:val="3"/>
      </w:pPr>
      <w:bookmarkStart w:id="1756" w:name="_Toc25119"/>
      <w:bookmarkStart w:id="1757" w:name="_Toc3889"/>
      <w:bookmarkStart w:id="1758" w:name="_Toc30528"/>
      <w:bookmarkStart w:id="1759" w:name="_Toc22884"/>
      <w:bookmarkStart w:id="1760" w:name="_Toc20183"/>
      <w:bookmarkStart w:id="1761" w:name="_Toc3751"/>
      <w:bookmarkStart w:id="1762" w:name="_Toc30009"/>
      <w:bookmarkStart w:id="1763" w:name="_Toc26121"/>
      <w:bookmarkStart w:id="1764" w:name="_Toc743"/>
      <w:bookmarkStart w:id="1765" w:name="_Toc4811"/>
      <w:bookmarkStart w:id="1766" w:name="_Toc8973"/>
      <w:bookmarkStart w:id="1767" w:name="_Toc9595"/>
      <w:bookmarkStart w:id="1768" w:name="_Toc853"/>
      <w:bookmarkStart w:id="1769" w:name="_Toc22869"/>
      <w:r>
        <w:rPr>
          <w:rFonts w:hint="eastAsia"/>
        </w:rPr>
        <w:t>关于明确建设工程计价有关问题的通知</w:t>
      </w:r>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p>
    <w:p>
      <w:pPr>
        <w:ind w:firstLine="560"/>
        <w:rPr>
          <w:rFonts w:ascii="仿宋_GB2312"/>
        </w:rPr>
      </w:pPr>
    </w:p>
    <w:p>
      <w:pPr>
        <w:ind w:firstLine="560"/>
        <w:rPr>
          <w:rFonts w:ascii="仿宋_GB2312"/>
        </w:rPr>
      </w:pPr>
    </w:p>
    <w:p>
      <w:pPr>
        <w:spacing w:line="560" w:lineRule="exact"/>
        <w:ind w:firstLine="0" w:firstLineChars="0"/>
      </w:pPr>
      <w:r>
        <w:rPr>
          <w:rFonts w:hint="eastAsia"/>
        </w:rPr>
        <w:t>各建设、设计、施工、中介咨询机构，各有关单位：</w:t>
      </w:r>
    </w:p>
    <w:p>
      <w:pPr>
        <w:spacing w:line="560" w:lineRule="exact"/>
        <w:ind w:firstLine="560"/>
      </w:pPr>
      <w:r>
        <w:rPr>
          <w:rFonts w:hint="eastAsia"/>
        </w:rPr>
        <w:t>为规范计价行为，统一计价标准，现将《关于明确江苏省建设工程费用定额有关问题的通知》（苏建价站（2009）7号）和《关于明确〈建设工程工程量清单计价规范〉（GB50500-2008）执行中的有关问题的通知》（苏建函价〔2010〕130号）转发给你们，同时就各方反映的建设工程计价其它问题一并明确如下：</w:t>
      </w:r>
    </w:p>
    <w:p>
      <w:pPr>
        <w:spacing w:line="560" w:lineRule="exact"/>
        <w:ind w:firstLine="560"/>
      </w:pPr>
      <w:r>
        <w:rPr>
          <w:rFonts w:hint="eastAsia"/>
        </w:rPr>
        <w:t>一、制定招标控制价时，夜间施工增加费、冬雨季施工增加费均应按规定计取。</w:t>
      </w:r>
    </w:p>
    <w:p>
      <w:pPr>
        <w:spacing w:line="560" w:lineRule="exact"/>
        <w:ind w:firstLine="560"/>
      </w:pPr>
      <w:r>
        <w:rPr>
          <w:rFonts w:hint="eastAsia"/>
        </w:rPr>
        <w:t>二、为简化计算方法，招标控制价按以下公式计算：</w:t>
      </w:r>
    </w:p>
    <w:p>
      <w:pPr>
        <w:spacing w:line="560" w:lineRule="exact"/>
        <w:ind w:firstLine="560"/>
      </w:pPr>
      <w:r>
        <w:rPr>
          <w:rFonts w:hint="eastAsia"/>
        </w:rPr>
        <w:t>招标控制价=（标底价－暂列金额－暂估价－甲供材料－安全文明施工措施费－规费－税金）﹡各专业打折系数＋暂列金额＋暂估价＋甲供材料＋安全文明施工措施费＋规费＋税金。</w:t>
      </w:r>
    </w:p>
    <w:p>
      <w:pPr>
        <w:spacing w:line="560" w:lineRule="exact"/>
        <w:ind w:firstLine="560"/>
      </w:pPr>
      <w:r>
        <w:rPr>
          <w:rFonts w:hint="eastAsia"/>
        </w:rPr>
        <w:t>三、如一个标段有数个单位工程，在计取赶工费时，以标段总工期为对象进行考核。</w:t>
      </w:r>
    </w:p>
    <w:p>
      <w:pPr>
        <w:spacing w:line="560" w:lineRule="exact"/>
        <w:ind w:firstLine="560"/>
      </w:pPr>
      <w:r>
        <w:rPr>
          <w:rFonts w:hint="eastAsia"/>
        </w:rPr>
        <w:t>四、如采用的是可调价格合同，不计取风险费用；如采用的是固定价格合同（固定单价或固定总价），则应计取相应的风险费用，其中招标控制价按规定的标准计取，报价自主确定。</w:t>
      </w:r>
    </w:p>
    <w:p>
      <w:pPr>
        <w:spacing w:line="560" w:lineRule="exact"/>
        <w:ind w:firstLine="560"/>
      </w:pPr>
      <w:r>
        <w:rPr>
          <w:rFonts w:hint="eastAsia"/>
        </w:rPr>
        <w:t>五、计取风险费用的工程，竣工结算时，调增（减）部分如采用投标报价的单价，也应计取相应的风险费用，费率按投标时报价中的费率。</w:t>
      </w:r>
    </w:p>
    <w:p>
      <w:pPr>
        <w:spacing w:line="560" w:lineRule="exact"/>
        <w:ind w:firstLine="560"/>
      </w:pPr>
      <w:r>
        <w:rPr>
          <w:rFonts w:hint="eastAsia"/>
        </w:rPr>
        <w:t>六、制定招标控制价时，措施项目费中的人工、材料、机械等价格的取定与分部分项工程费相同。</w:t>
      </w:r>
    </w:p>
    <w:p>
      <w:pPr>
        <w:spacing w:line="560" w:lineRule="exact"/>
        <w:ind w:firstLine="560"/>
      </w:pPr>
      <w:r>
        <w:rPr>
          <w:rFonts w:hint="eastAsia"/>
        </w:rPr>
        <w:t>七、预拌混凝土公布价配合比为泵送混凝土配合比，不含泵送费；建筑工程计价表相应子目中已含泵送费，不另计；市政工程计价表中不含泵送费，编制招标控制价时，按13.5元/m³计取；现场集中搅拌混凝土不采用泵送的，仅调整配合比，其它不变。</w:t>
      </w:r>
    </w:p>
    <w:p>
      <w:pPr>
        <w:spacing w:line="560" w:lineRule="exact"/>
        <w:ind w:firstLine="560"/>
      </w:pPr>
      <w:r>
        <w:rPr>
          <w:rFonts w:hint="eastAsia"/>
        </w:rPr>
        <w:t>八、在签订施工合同时，如需采用招标文件中的有关条款，应在合同中明确，否则以经过备案的合同为准。</w:t>
      </w:r>
    </w:p>
    <w:p>
      <w:pPr>
        <w:spacing w:line="560" w:lineRule="exact"/>
        <w:ind w:firstLine="560"/>
      </w:pPr>
      <w:r>
        <w:rPr>
          <w:rFonts w:hint="eastAsia"/>
        </w:rPr>
        <w:t>九、目前我省人工工资预算单价还未放开，因此，省工程造价管理机构发布的人工工资预算单价调整，不属于风险范围的内容，但市场劳务价格变化属于风险的范畴。</w:t>
      </w:r>
    </w:p>
    <w:p>
      <w:pPr>
        <w:spacing w:line="560" w:lineRule="exact"/>
        <w:ind w:firstLine="560"/>
      </w:pPr>
      <w:r>
        <w:rPr>
          <w:rFonts w:hint="eastAsia"/>
        </w:rPr>
        <w:t>十、在界定地下室或半地下室时，室外地坪面是指设计室外地坪面。</w:t>
      </w:r>
    </w:p>
    <w:p>
      <w:pPr>
        <w:spacing w:line="560" w:lineRule="exact"/>
        <w:ind w:firstLine="560"/>
      </w:pPr>
      <w:r>
        <w:rPr>
          <w:rFonts w:hint="eastAsia"/>
        </w:rPr>
        <w:t>十一、《江苏省建设工程费用定额》（2009年）中的社会保障费已包含工伤保险费，因此，原《关于苏州市建筑企业农民工工伤保险费计取办法的通知》（苏建价便（2008）7号）中规定的费用不再重复计取。</w:t>
      </w:r>
    </w:p>
    <w:p>
      <w:pPr>
        <w:spacing w:line="560" w:lineRule="exact"/>
        <w:ind w:firstLine="560"/>
      </w:pPr>
      <w:r>
        <w:rPr>
          <w:rFonts w:hint="eastAsia"/>
        </w:rPr>
        <w:t>十二、景观工程中的项目按市政、建筑、安装、装饰、仿古建筑与园林等计价表先后次序套用相应子目，前面计价表有相应子目的，优先套用前面计价表，没有的，套用后者。如设计注明要求按某专业规范标准进行施工的，则按该专业计价表套用。</w:t>
      </w:r>
    </w:p>
    <w:p>
      <w:pPr>
        <w:spacing w:line="560" w:lineRule="exact"/>
        <w:ind w:firstLine="560"/>
      </w:pPr>
      <w:r>
        <w:rPr>
          <w:rFonts w:hint="eastAsia"/>
        </w:rPr>
        <w:t>十三、苏建价〔2009〕10号文《关于苏州市建设工程材料差价调整的指导意见》中所称主体施工期间是指：</w:t>
      </w:r>
    </w:p>
    <w:p>
      <w:pPr>
        <w:spacing w:line="560" w:lineRule="exact"/>
        <w:ind w:firstLine="560"/>
      </w:pPr>
      <w:r>
        <w:rPr>
          <w:rFonts w:hint="eastAsia"/>
        </w:rPr>
        <w:t>1．建筑工程为从浇筑基础垫层到结构封顶这段时间；</w:t>
      </w:r>
    </w:p>
    <w:p>
      <w:pPr>
        <w:spacing w:line="560" w:lineRule="exact"/>
        <w:ind w:firstLine="560"/>
      </w:pPr>
      <w:r>
        <w:rPr>
          <w:rFonts w:hint="eastAsia"/>
        </w:rPr>
        <w:t>2．市政桥梁工程为下部结构（不包括桩基）和上部结构的施工期；</w:t>
      </w:r>
    </w:p>
    <w:p>
      <w:pPr>
        <w:spacing w:line="560" w:lineRule="exact"/>
        <w:ind w:firstLine="560"/>
      </w:pPr>
      <w:r>
        <w:rPr>
          <w:rFonts w:hint="eastAsia"/>
        </w:rPr>
        <w:t>3．市政道路（包括桥梁中的桥面铺装）为砼实际浇筑期或沥青实际摊铺期；</w:t>
      </w:r>
    </w:p>
    <w:p>
      <w:pPr>
        <w:spacing w:line="560" w:lineRule="exact"/>
        <w:ind w:firstLine="560"/>
      </w:pPr>
      <w:r>
        <w:rPr>
          <w:rFonts w:hint="eastAsia"/>
        </w:rPr>
        <w:t>4．桩基工程为桩基施工期。</w:t>
      </w:r>
    </w:p>
    <w:p>
      <w:pPr>
        <w:spacing w:line="560" w:lineRule="exact"/>
        <w:ind w:firstLine="560"/>
      </w:pPr>
      <w:r>
        <w:rPr>
          <w:rFonts w:hint="eastAsia"/>
        </w:rPr>
        <w:t>十四、差价调整：</w:t>
      </w:r>
    </w:p>
    <w:p>
      <w:pPr>
        <w:spacing w:line="560" w:lineRule="exact"/>
        <w:ind w:firstLine="560"/>
      </w:pPr>
      <w:r>
        <w:rPr>
          <w:rFonts w:hint="eastAsia"/>
        </w:rPr>
        <w:t>1．在推迟开工期间，遇价格上涨或下跌造成的差价，按推迟前后的公布价的差额计算。举例如下：</w:t>
      </w:r>
    </w:p>
    <w:p>
      <w:pPr>
        <w:spacing w:line="560" w:lineRule="exact"/>
        <w:ind w:firstLine="560"/>
      </w:pPr>
      <w:r>
        <w:rPr>
          <w:rFonts w:hint="eastAsia"/>
        </w:rPr>
        <w:t>某工程合同约定开工日期为2009年1月，假设钢筋公布价为4000元/吨，由于某种原因，推迟到2009年3月开工，假设钢筋公布价为4500元/吨，钢筋差价为500元/吨；如果推迟原因是发包人造成的，则予以调增；如果推迟原因是承包人造成的，则不予调增。</w:t>
      </w:r>
    </w:p>
    <w:p>
      <w:pPr>
        <w:spacing w:line="560" w:lineRule="exact"/>
        <w:ind w:firstLine="560"/>
      </w:pPr>
      <w:r>
        <w:rPr>
          <w:rFonts w:hint="eastAsia"/>
        </w:rPr>
        <w:t>假设2009年3月钢筋公布价为3800元/吨，钢筋差价为-200元/吨；如果推迟原因是发包人造成的，则不予调减；如果推迟原因是承包人造成的，则予以调减。</w:t>
      </w:r>
    </w:p>
    <w:p>
      <w:pPr>
        <w:spacing w:line="560" w:lineRule="exact"/>
        <w:ind w:firstLine="560"/>
      </w:pPr>
      <w:r>
        <w:rPr>
          <w:rFonts w:hint="eastAsia"/>
        </w:rPr>
        <w:t>该差价应考虑投标时的总价让利幅度。</w:t>
      </w:r>
    </w:p>
    <w:p>
      <w:pPr>
        <w:spacing w:line="560" w:lineRule="exact"/>
        <w:ind w:firstLine="560"/>
      </w:pPr>
      <w:r>
        <w:rPr>
          <w:rFonts w:hint="eastAsia"/>
        </w:rPr>
        <w:t>2．在施工期间，遇价格上涨或下跌造成的差价，按合同约定的方法计算。</w:t>
      </w:r>
    </w:p>
    <w:p>
      <w:pPr>
        <w:spacing w:line="560" w:lineRule="exact"/>
        <w:ind w:firstLine="560"/>
      </w:pPr>
      <w:r>
        <w:rPr>
          <w:rFonts w:hint="eastAsia"/>
        </w:rPr>
        <w:t>以上两种差价，列入分部分项工程费中，计取相应的费用。</w:t>
      </w:r>
    </w:p>
    <w:p>
      <w:pPr>
        <w:spacing w:line="560" w:lineRule="exact"/>
        <w:ind w:firstLine="560"/>
      </w:pPr>
      <w:r>
        <w:rPr>
          <w:rFonts w:hint="eastAsia"/>
        </w:rPr>
        <w:t>十五、新增项目综合单价，合同有约定按约定进行确定，无约定取投标报价中的人工、材料、机械等单价和相关费率进行组价，同一类型出现两个单价或费率时，取较低的单价或费率。</w:t>
      </w:r>
    </w:p>
    <w:p>
      <w:pPr>
        <w:spacing w:line="560" w:lineRule="exact"/>
        <w:ind w:firstLine="560"/>
      </w:pPr>
      <w:r>
        <w:rPr>
          <w:rFonts w:hint="eastAsia"/>
        </w:rPr>
        <w:t>十六、有两项以上施工内容组成的清单项目，当其中的某一项出现变更时，仅调整变更项的单价，其余不变。</w:t>
      </w:r>
    </w:p>
    <w:p>
      <w:pPr>
        <w:spacing w:line="560" w:lineRule="exact"/>
        <w:ind w:firstLine="560"/>
      </w:pPr>
      <w:r>
        <w:rPr>
          <w:rFonts w:hint="eastAsia"/>
        </w:rPr>
        <w:t>十七、若材料（或品牌）变更，施工工艺不变，仅调整材料（或品牌）单价，投标报价中有相同品种的采用投标价；没有投标价的，只调整两种材料（或品牌）同口径市场价的差价。</w:t>
      </w:r>
    </w:p>
    <w:p>
      <w:pPr>
        <w:spacing w:line="560" w:lineRule="exact"/>
        <w:ind w:firstLine="560"/>
      </w:pPr>
      <w:r>
        <w:rPr>
          <w:rFonts w:hint="eastAsia"/>
        </w:rPr>
        <w:t>十八、签证价格的确认</w:t>
      </w:r>
    </w:p>
    <w:p>
      <w:pPr>
        <w:spacing w:line="560" w:lineRule="exact"/>
        <w:ind w:firstLine="560"/>
      </w:pPr>
      <w:r>
        <w:rPr>
          <w:rFonts w:hint="eastAsia"/>
        </w:rPr>
        <w:t>合同履行过程中，当遇新增项目或材料时，合同双方应按合同约定及时办理签证手续，承包人向发包人递交的签证报告中，应如实明确反映签证事由、材料实样、签证价格，发包人对承包人递交的签证报告应进行详细审核并签署审核意见。</w:t>
      </w:r>
    </w:p>
    <w:p>
      <w:pPr>
        <w:spacing w:line="560" w:lineRule="exact"/>
        <w:ind w:firstLine="560"/>
      </w:pPr>
      <w:r>
        <w:rPr>
          <w:rFonts w:hint="eastAsia"/>
        </w:rPr>
        <w:t>发承包双方对价格的确认应本着实事求是、贴近市场的原则，明确具体结算的价格；发包人对承包人提交的签证报告中的价格应有明确的意见，不得签署诸如“以送审为准”等模棱两可的意见，同时要明确签证价格是让利前还是让利后的价格，以避免竣工结算时引起纠纷。</w:t>
      </w:r>
    </w:p>
    <w:p>
      <w:pPr>
        <w:spacing w:line="560" w:lineRule="exact"/>
        <w:ind w:firstLine="560"/>
      </w:pPr>
      <w:r>
        <w:rPr>
          <w:rFonts w:hint="eastAsia"/>
        </w:rPr>
        <w:t>如签证的价格明显偏离市场价，发承包双方应在签证报告中充分说明理由并附合理的询价依据。</w:t>
      </w:r>
    </w:p>
    <w:p>
      <w:pPr>
        <w:spacing w:line="560" w:lineRule="exact"/>
        <w:ind w:firstLine="560"/>
      </w:pPr>
      <w:r>
        <w:rPr>
          <w:rFonts w:hint="eastAsia"/>
        </w:rPr>
        <w:t>价格一旦经发承包双方确认，则作为结算的依据，任何一方不得随意推翻。</w:t>
      </w:r>
    </w:p>
    <w:p>
      <w:pPr>
        <w:spacing w:line="560" w:lineRule="exact"/>
        <w:ind w:firstLine="560"/>
      </w:pPr>
      <w:r>
        <w:rPr>
          <w:rFonts w:hint="eastAsia"/>
        </w:rPr>
        <w:t>在竣工结算审核中，审核人员如发现某一签证价格明显偏离市场价而没有充分理由，或对某一签证价格有疑义时，应有本人合理的询价依据，并将本人的询价依据提交发承包双方，建议双方重新确定合理的结算价格，如双方就审核人员的建议无法重新确定结算价格的，则按签证价格结算；审核人员不得推翻双方的签证价格，但可在审核结论中反映此情况。</w:t>
      </w:r>
    </w:p>
    <w:p>
      <w:pPr>
        <w:spacing w:line="560" w:lineRule="exact"/>
        <w:ind w:firstLine="560"/>
      </w:pPr>
      <w:r>
        <w:rPr>
          <w:rFonts w:hint="eastAsia"/>
        </w:rPr>
        <w:t>十九、退甲供材料数量按业主实际供应的数量退还，供多少退多少。</w:t>
      </w:r>
    </w:p>
    <w:p>
      <w:pPr>
        <w:spacing w:line="560" w:lineRule="exact"/>
        <w:ind w:firstLine="560"/>
      </w:pPr>
      <w:r>
        <w:rPr>
          <w:rFonts w:hint="eastAsia"/>
        </w:rPr>
        <w:t>二十、中标价中不可竞争性费用未按规定计取，竣工结算时，原中标价部分不变，调增（减）部分按规定的标准予以纠正。</w:t>
      </w:r>
    </w:p>
    <w:p>
      <w:pPr>
        <w:spacing w:line="560" w:lineRule="exact"/>
        <w:ind w:firstLine="560"/>
      </w:pPr>
      <w:r>
        <w:rPr>
          <w:rFonts w:hint="eastAsia"/>
        </w:rPr>
        <w:t>二十一、以前解释与本文不一致的，以本文为准；在本文执行过程中，如遇上级有新规定，则按上级规定执行。</w:t>
      </w:r>
    </w:p>
    <w:p>
      <w:pPr>
        <w:spacing w:line="560" w:lineRule="exact"/>
        <w:ind w:firstLine="560"/>
      </w:pPr>
      <w:r>
        <w:rPr>
          <w:rFonts w:hint="eastAsia"/>
        </w:rPr>
        <w:t>二十二、本文下发后，已经结算的工程不再调整。</w:t>
      </w:r>
    </w:p>
    <w:p>
      <w:pPr>
        <w:spacing w:line="560" w:lineRule="exact"/>
        <w:ind w:firstLine="560"/>
      </w:pPr>
    </w:p>
    <w:p>
      <w:pPr>
        <w:spacing w:line="560" w:lineRule="exact"/>
        <w:ind w:firstLine="560"/>
      </w:pPr>
      <w:r>
        <w:rPr>
          <w:rFonts w:hint="eastAsia"/>
        </w:rPr>
        <w:t>附件一：《关于明确江苏省建设工程费用定额有关问题的通知》（苏建价站（2009）7号）。</w:t>
      </w:r>
    </w:p>
    <w:p>
      <w:pPr>
        <w:spacing w:line="560" w:lineRule="exact"/>
        <w:ind w:firstLine="560"/>
      </w:pPr>
      <w:r>
        <w:rPr>
          <w:rFonts w:hint="eastAsia"/>
        </w:rPr>
        <w:t>附件二：《关于明确〈建设工程工程量清单计价规范〉（GB50500-2008）执行中的有关问题的通知》（苏建函价〔2010〕130号）。</w:t>
      </w:r>
    </w:p>
    <w:p>
      <w:pPr>
        <w:spacing w:line="560" w:lineRule="exact"/>
        <w:ind w:firstLine="560"/>
      </w:pPr>
    </w:p>
    <w:p>
      <w:pPr>
        <w:spacing w:line="560" w:lineRule="exact"/>
        <w:ind w:firstLine="560"/>
      </w:pPr>
    </w:p>
    <w:p>
      <w:pPr>
        <w:spacing w:line="560" w:lineRule="exact"/>
        <w:ind w:firstLine="4564" w:firstLineChars="1630"/>
      </w:pPr>
      <w:r>
        <w:rPr>
          <w:rFonts w:hint="eastAsia"/>
        </w:rPr>
        <w:t>苏州市工程造价管理处</w:t>
      </w:r>
    </w:p>
    <w:p>
      <w:pPr>
        <w:spacing w:line="560" w:lineRule="exact"/>
        <w:ind w:firstLine="560"/>
      </w:pPr>
      <w:r>
        <w:rPr>
          <w:rFonts w:hint="eastAsia"/>
        </w:rPr>
        <w:t xml:space="preserve">     　　　　                     2010年5月12日</w:t>
      </w:r>
    </w:p>
    <w:p>
      <w:pPr>
        <w:ind w:firstLine="560"/>
        <w:rPr>
          <w:rFonts w:ascii="仿宋_GB2312"/>
        </w:rPr>
      </w:pPr>
    </w:p>
    <w:p>
      <w:pPr>
        <w:ind w:firstLine="560"/>
      </w:pPr>
      <w:r>
        <w:br w:type="page"/>
      </w:r>
    </w:p>
    <w:p>
      <w:pPr>
        <w:ind w:firstLine="0" w:firstLineChars="0"/>
        <w:outlineLvl w:val="0"/>
        <w:rPr>
          <w:rFonts w:ascii="仿宋_GB2312"/>
        </w:rPr>
      </w:pPr>
      <w:bookmarkStart w:id="1770" w:name="_Toc22232"/>
      <w:bookmarkStart w:id="1771" w:name="_Toc19455"/>
      <w:bookmarkStart w:id="1772" w:name="_Toc12250"/>
      <w:bookmarkStart w:id="1773" w:name="_Toc6249"/>
      <w:bookmarkStart w:id="1774" w:name="_Toc23653"/>
      <w:bookmarkStart w:id="1775" w:name="_Toc23223"/>
      <w:bookmarkStart w:id="1776" w:name="_Toc27866"/>
      <w:bookmarkStart w:id="1777" w:name="_Toc23568"/>
      <w:bookmarkStart w:id="1778" w:name="_Toc12341"/>
      <w:bookmarkStart w:id="1779" w:name="_Toc9711"/>
      <w:r>
        <w:rPr>
          <w:rFonts w:hint="eastAsia" w:ascii="仿宋_GB2312"/>
        </w:rPr>
        <w:t>附件一：</w:t>
      </w:r>
      <w:bookmarkEnd w:id="1770"/>
      <w:bookmarkEnd w:id="1771"/>
      <w:bookmarkEnd w:id="1772"/>
      <w:bookmarkEnd w:id="1773"/>
      <w:bookmarkEnd w:id="1774"/>
      <w:bookmarkEnd w:id="1775"/>
      <w:bookmarkEnd w:id="1776"/>
      <w:bookmarkEnd w:id="1777"/>
      <w:bookmarkEnd w:id="1778"/>
      <w:bookmarkEnd w:id="1779"/>
    </w:p>
    <w:p>
      <w:pPr>
        <w:pStyle w:val="2"/>
        <w:numPr>
          <w:ilvl w:val="0"/>
          <w:numId w:val="0"/>
        </w:numPr>
        <w:ind w:left="420"/>
      </w:pPr>
    </w:p>
    <w:p>
      <w:pPr>
        <w:pStyle w:val="5"/>
        <w:rPr>
          <w:w w:val="80"/>
        </w:rPr>
      </w:pPr>
      <w:bookmarkStart w:id="1780" w:name="_Toc16845"/>
      <w:bookmarkStart w:id="1781" w:name="_Toc6005"/>
      <w:bookmarkStart w:id="1782" w:name="_Toc26633"/>
      <w:bookmarkStart w:id="1783" w:name="_Toc4108"/>
      <w:bookmarkStart w:id="1784" w:name="_Toc16830"/>
      <w:bookmarkStart w:id="1785" w:name="_Toc27082"/>
      <w:bookmarkStart w:id="1786" w:name="_Toc22366"/>
      <w:r>
        <w:rPr>
          <w:w w:val="80"/>
        </w:rPr>
        <w:t>江苏省建设工程造价管理总站文件</w:t>
      </w:r>
      <w:bookmarkEnd w:id="1780"/>
      <w:bookmarkEnd w:id="1781"/>
      <w:bookmarkEnd w:id="1782"/>
      <w:bookmarkEnd w:id="1783"/>
      <w:bookmarkEnd w:id="1784"/>
      <w:bookmarkEnd w:id="1785"/>
      <w:bookmarkEnd w:id="1786"/>
    </w:p>
    <w:p>
      <w:pPr>
        <w:pStyle w:val="5"/>
      </w:pPr>
    </w:p>
    <w:p>
      <w:pPr>
        <w:pStyle w:val="4"/>
      </w:pPr>
      <w:bookmarkStart w:id="1787" w:name="_Toc20760"/>
      <w:bookmarkStart w:id="1788" w:name="_Toc4569"/>
      <w:bookmarkStart w:id="1789" w:name="_Toc2643"/>
      <w:bookmarkStart w:id="1790" w:name="_Toc8474"/>
      <w:bookmarkStart w:id="1791" w:name="_Toc28514"/>
      <w:bookmarkStart w:id="1792" w:name="_Toc8541"/>
      <w:bookmarkStart w:id="1793" w:name="_Toc31773"/>
      <w:bookmarkStart w:id="1794" w:name="_Toc12661"/>
      <w:bookmarkStart w:id="1795" w:name="_Toc94"/>
      <w:bookmarkStart w:id="1796" w:name="_Toc27276"/>
      <w:bookmarkStart w:id="1797" w:name="_Toc5000"/>
      <w:r>
        <w:rPr>
          <w:rFonts w:hint="eastAsia"/>
        </w:rPr>
        <w:t>苏建价站（</w:t>
      </w:r>
      <w:r>
        <w:t>2009</w:t>
      </w:r>
      <w:r>
        <w:rPr>
          <w:rFonts w:hint="eastAsia"/>
        </w:rPr>
        <w:t>）</w:t>
      </w:r>
      <w:r>
        <w:t>7</w:t>
      </w:r>
      <w:r>
        <w:rPr>
          <w:rFonts w:hint="eastAsia"/>
        </w:rPr>
        <w:t>号</w:t>
      </w:r>
      <w:bookmarkEnd w:id="1787"/>
      <w:bookmarkEnd w:id="1788"/>
      <w:bookmarkEnd w:id="1789"/>
      <w:bookmarkEnd w:id="1790"/>
      <w:bookmarkEnd w:id="1791"/>
      <w:bookmarkEnd w:id="1792"/>
      <w:bookmarkEnd w:id="1793"/>
      <w:bookmarkEnd w:id="1794"/>
      <w:bookmarkEnd w:id="1795"/>
      <w:bookmarkEnd w:id="1796"/>
      <w:bookmarkEnd w:id="1797"/>
    </w:p>
    <w:p>
      <w:pPr>
        <w:ind w:firstLine="0" w:firstLineChars="0"/>
        <w:rPr>
          <w:color w:val="000000"/>
          <w:szCs w:val="18"/>
        </w:rPr>
      </w:pPr>
      <w:r>
        <w:rPr>
          <w:color w:val="000000"/>
          <w:szCs w:val="18"/>
        </w:rPr>
        <w:pict>
          <v:rect id="_x0000_i1027" o:spt="1" style="height:1.5pt;width:0.05pt;" fillcolor="#FF0000" filled="t" stroked="f" coordsize="21600,21600" o:hr="t" o:hrstd="t" o:hrnoshade="t" o:hralign="center">
            <v:path/>
            <v:fill on="t" focussize="0,0"/>
            <v:stroke on="f"/>
            <v:imagedata o:title=""/>
            <o:lock v:ext="edit"/>
            <w10:wrap type="none"/>
            <w10:anchorlock/>
          </v:rect>
        </w:pict>
      </w:r>
    </w:p>
    <w:p>
      <w:pPr>
        <w:pStyle w:val="3"/>
      </w:pPr>
    </w:p>
    <w:p>
      <w:pPr>
        <w:pStyle w:val="3"/>
      </w:pPr>
      <w:bookmarkStart w:id="1798" w:name="_Toc11961"/>
      <w:bookmarkStart w:id="1799" w:name="_Toc3200"/>
      <w:bookmarkStart w:id="1800" w:name="_Toc22120"/>
      <w:bookmarkStart w:id="1801" w:name="_Toc26074"/>
      <w:bookmarkStart w:id="1802" w:name="_Toc5796"/>
      <w:bookmarkStart w:id="1803" w:name="_Toc9588"/>
      <w:bookmarkStart w:id="1804" w:name="_Toc10464"/>
      <w:bookmarkStart w:id="1805" w:name="_Toc32276"/>
      <w:bookmarkStart w:id="1806" w:name="_Toc16386"/>
      <w:bookmarkStart w:id="1807" w:name="_Toc16981"/>
      <w:bookmarkStart w:id="1808" w:name="_Toc17737"/>
      <w:bookmarkStart w:id="1809" w:name="_Toc9991"/>
      <w:bookmarkStart w:id="1810" w:name="_Toc30168"/>
      <w:bookmarkStart w:id="1811" w:name="_Toc12253"/>
      <w:r>
        <w:rPr>
          <w:rFonts w:hint="eastAsia"/>
        </w:rPr>
        <w:t>关于明确江苏省建设工程费用定额有关问题的通知</w:t>
      </w:r>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p>
    <w:p>
      <w:pPr>
        <w:spacing w:line="360" w:lineRule="auto"/>
        <w:ind w:firstLine="560"/>
        <w:rPr>
          <w:rFonts w:ascii="仿宋_GB2312"/>
          <w:color w:val="000000"/>
          <w:szCs w:val="30"/>
        </w:rPr>
      </w:pPr>
    </w:p>
    <w:p>
      <w:pPr>
        <w:spacing w:line="360" w:lineRule="auto"/>
        <w:ind w:firstLine="560"/>
        <w:rPr>
          <w:rFonts w:ascii="仿宋_GB2312"/>
          <w:color w:val="000000"/>
          <w:szCs w:val="30"/>
        </w:rPr>
      </w:pPr>
    </w:p>
    <w:p>
      <w:pPr>
        <w:spacing w:line="560" w:lineRule="exact"/>
        <w:ind w:firstLine="0" w:firstLineChars="0"/>
      </w:pPr>
      <w:r>
        <w:rPr>
          <w:rFonts w:hint="eastAsia"/>
        </w:rPr>
        <w:t>各市造价管理处，各有关单位：</w:t>
      </w:r>
    </w:p>
    <w:p>
      <w:pPr>
        <w:spacing w:line="560" w:lineRule="exact"/>
        <w:ind w:firstLine="560"/>
      </w:pPr>
      <w:r>
        <w:rPr>
          <w:rFonts w:hint="eastAsia"/>
        </w:rPr>
        <w:t>在江苏省建设工程费用定额执行过程中，有关工程类别划分、费用标准取定方面尚存在规定不明确和需调整的地方，经请示厅领导同意，现就有关问题明确如下：</w:t>
      </w:r>
    </w:p>
    <w:p>
      <w:pPr>
        <w:spacing w:line="560" w:lineRule="exact"/>
        <w:ind w:firstLine="562"/>
        <w:rPr>
          <w:b/>
          <w:bCs/>
        </w:rPr>
      </w:pPr>
      <w:r>
        <w:rPr>
          <w:rFonts w:hint="eastAsia"/>
          <w:b/>
          <w:bCs/>
        </w:rPr>
        <w:t>一、建设工程类别取定的有关标准：</w:t>
      </w:r>
    </w:p>
    <w:p>
      <w:pPr>
        <w:spacing w:line="560" w:lineRule="exact"/>
        <w:ind w:firstLine="560"/>
      </w:pPr>
      <w:r>
        <w:t>1</w:t>
      </w:r>
      <w:r>
        <w:rPr>
          <w:rFonts w:hint="eastAsia"/>
        </w:rPr>
        <w:t>、空间可利用的坡屋顶或顶楼的跃层，当净高超过</w:t>
      </w:r>
      <w:r>
        <w:t>2.1M</w:t>
      </w:r>
      <w:r>
        <w:rPr>
          <w:rFonts w:hint="eastAsia"/>
        </w:rPr>
        <w:t>部分的水平面积与标准层建筑面积相比达到</w:t>
      </w:r>
      <w:r>
        <w:t>50%</w:t>
      </w:r>
      <w:r>
        <w:rPr>
          <w:rFonts w:hint="eastAsia"/>
        </w:rPr>
        <w:t>以上时可以计算层数。</w:t>
      </w:r>
    </w:p>
    <w:p>
      <w:pPr>
        <w:spacing w:line="560" w:lineRule="exact"/>
        <w:ind w:firstLine="560"/>
      </w:pPr>
      <w:r>
        <w:t>2</w:t>
      </w:r>
      <w:r>
        <w:rPr>
          <w:rFonts w:hint="eastAsia"/>
        </w:rPr>
        <w:t>、底层车库（不包括地下或半地下车库）在设计室外地面以上部分超过</w:t>
      </w:r>
      <w:r>
        <w:t>2.2m</w:t>
      </w:r>
      <w:r>
        <w:rPr>
          <w:rFonts w:hint="eastAsia"/>
        </w:rPr>
        <w:t>时，可以计算层数。</w:t>
      </w:r>
    </w:p>
    <w:p>
      <w:pPr>
        <w:spacing w:line="560" w:lineRule="exact"/>
        <w:ind w:firstLine="560"/>
      </w:pPr>
      <w:r>
        <w:t>3</w:t>
      </w:r>
      <w:r>
        <w:rPr>
          <w:rFonts w:hint="eastAsia"/>
        </w:rPr>
        <w:t>、有地下室的多层建筑（七层以内）、有人防地下室的小高层、高层建筑的工程类别可以高套一类。有地下室，但不是人防地下室的小高层、高层建筑，只有当处于层数或檐口高度的临界值时可以高套一类。</w:t>
      </w:r>
    </w:p>
    <w:p>
      <w:pPr>
        <w:spacing w:line="560" w:lineRule="exact"/>
        <w:ind w:firstLine="560"/>
      </w:pPr>
      <w:r>
        <w:t>4</w:t>
      </w:r>
      <w:r>
        <w:rPr>
          <w:rFonts w:hint="eastAsia"/>
        </w:rPr>
        <w:t>、多栋建筑物下有连通的地下室时，地上的多栋建筑物的工程类别确定原则同有地下室的建筑工程；其地下室建筑面积在</w:t>
      </w:r>
      <w:r>
        <w:t>10000m2</w:t>
      </w:r>
      <w:r>
        <w:rPr>
          <w:rFonts w:hint="eastAsia"/>
        </w:rPr>
        <w:t>以下的，按建筑工程二类标准取费，在</w:t>
      </w:r>
      <w:r>
        <w:t>10000m2</w:t>
      </w:r>
      <w:r>
        <w:rPr>
          <w:rFonts w:hint="eastAsia"/>
        </w:rPr>
        <w:t>以上的，按建筑工程一类标准取费。</w:t>
      </w:r>
    </w:p>
    <w:p>
      <w:pPr>
        <w:spacing w:line="560" w:lineRule="exact"/>
        <w:ind w:firstLine="562"/>
        <w:rPr>
          <w:b/>
          <w:bCs/>
        </w:rPr>
      </w:pPr>
      <w:r>
        <w:rPr>
          <w:rFonts w:hint="eastAsia"/>
          <w:b/>
          <w:bCs/>
        </w:rPr>
        <w:t>二、建设工程的有关费用标准：</w:t>
      </w:r>
    </w:p>
    <w:p>
      <w:pPr>
        <w:spacing w:line="560" w:lineRule="exact"/>
        <w:ind w:firstLine="560"/>
      </w:pPr>
      <w:r>
        <w:t>1</w:t>
      </w:r>
      <w:r>
        <w:rPr>
          <w:rFonts w:hint="eastAsia"/>
        </w:rPr>
        <w:t>、建筑工程中的专业项目在执行费用标准时，桩基工程（包括打预制桩和制作兼打桩）、大型土石方工程不论是否单独发包，均应按照对应的专业项目执行费率标准。预制构件制作、构件吊装、装饰工程只有在单独发包时，按照对应的专业项目执行费率标准；否则执行建筑工程费率标准。</w:t>
      </w:r>
    </w:p>
    <w:p>
      <w:pPr>
        <w:spacing w:line="560" w:lineRule="exact"/>
        <w:ind w:firstLine="560"/>
      </w:pPr>
      <w:r>
        <w:t>2</w:t>
      </w:r>
      <w:r>
        <w:rPr>
          <w:rFonts w:hint="eastAsia"/>
        </w:rPr>
        <w:t>、特殊条件下施工增加费、地上、地下设施、建筑物的临时保护设施费，当计价定额中无适用项目参考报价时，可以直接以“项”为单位报价，不需要提供具体价格组成。</w:t>
      </w:r>
    </w:p>
    <w:p>
      <w:pPr>
        <w:spacing w:line="560" w:lineRule="exact"/>
        <w:ind w:firstLine="562"/>
        <w:rPr>
          <w:b/>
          <w:bCs/>
        </w:rPr>
      </w:pPr>
      <w:r>
        <w:rPr>
          <w:rFonts w:hint="eastAsia"/>
          <w:b/>
          <w:bCs/>
        </w:rPr>
        <w:t>三、钢结构工程取费标准的部分调整</w:t>
      </w:r>
    </w:p>
    <w:p>
      <w:pPr>
        <w:spacing w:line="560" w:lineRule="exact"/>
        <w:ind w:firstLine="560"/>
      </w:pPr>
      <w:r>
        <w:t>1</w:t>
      </w:r>
      <w:r>
        <w:rPr>
          <w:rFonts w:hint="eastAsia"/>
        </w:rPr>
        <w:t>、加工厂完成制作，到施工现场安装的钢结构工程（包括网架屋面），安全文明施工措施费标准调整为按单独发包的构件吊装标准执行。加工厂为施工企业自有的，钢结构除安全文明施工措施费外，其他费用标准不变，仍按建筑工程执行。钢结构为企业成品购入的，钢结构以成品预算价格计入材料费，费用标准调整为按照单独发包的构件吊装工程执行。</w:t>
      </w:r>
    </w:p>
    <w:p>
      <w:pPr>
        <w:spacing w:line="560" w:lineRule="exact"/>
        <w:ind w:firstLine="560"/>
      </w:pPr>
      <w:r>
        <w:t>2</w:t>
      </w:r>
      <w:r>
        <w:rPr>
          <w:rFonts w:hint="eastAsia"/>
        </w:rPr>
        <w:t>、施工现场完成加工制作的钢结构工程费用标准不变，仍按照建筑工程执行。</w:t>
      </w:r>
    </w:p>
    <w:p>
      <w:pPr>
        <w:spacing w:line="560" w:lineRule="exact"/>
        <w:ind w:firstLine="560"/>
      </w:pPr>
      <w:r>
        <w:t>3</w:t>
      </w:r>
      <w:r>
        <w:rPr>
          <w:rFonts w:hint="eastAsia"/>
        </w:rPr>
        <w:t>、钢结构工程取费标准的调整适用于在本通知发布后招标或签订施工合同的不招标的建设工程。</w:t>
      </w:r>
    </w:p>
    <w:p>
      <w:pPr>
        <w:pStyle w:val="2"/>
        <w:numPr>
          <w:ilvl w:val="0"/>
          <w:numId w:val="0"/>
        </w:numPr>
        <w:ind w:left="420"/>
      </w:pPr>
    </w:p>
    <w:p>
      <w:pPr>
        <w:spacing w:line="560" w:lineRule="exact"/>
        <w:ind w:firstLine="560"/>
      </w:pPr>
      <w:r>
        <w:t xml:space="preserve">                         </w:t>
      </w:r>
      <w:r>
        <w:rPr>
          <w:rFonts w:hint="eastAsia"/>
        </w:rPr>
        <w:t xml:space="preserve">     </w:t>
      </w:r>
      <w:r>
        <w:t xml:space="preserve"> </w:t>
      </w:r>
      <w:r>
        <w:rPr>
          <w:rFonts w:hint="eastAsia"/>
        </w:rPr>
        <w:t>二○○九年九月八日</w:t>
      </w: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pStyle w:val="2"/>
        <w:numPr>
          <w:ilvl w:val="0"/>
          <w:numId w:val="0"/>
        </w:numPr>
      </w:pPr>
    </w:p>
    <w:p>
      <w:pPr>
        <w:spacing w:line="560" w:lineRule="exact"/>
        <w:ind w:firstLine="560"/>
      </w:pPr>
      <w:r>
        <w:rPr>
          <w:rFonts w:hint="eastAsia"/>
        </w:rPr>
        <w:t>抄送：住建部标准定额司，住建部标准定额研究所。</w:t>
      </w:r>
    </w:p>
    <w:p>
      <w:pPr>
        <w:ind w:firstLine="0" w:firstLineChars="0"/>
        <w:outlineLvl w:val="0"/>
        <w:rPr>
          <w:rFonts w:ascii="仿宋_GB2312"/>
        </w:rPr>
      </w:pPr>
      <w:r>
        <w:rPr>
          <w:rFonts w:ascii="仿宋_GB2312"/>
        </w:rPr>
        <w:br w:type="page"/>
      </w:r>
      <w:bookmarkStart w:id="1812" w:name="_Toc1753"/>
      <w:bookmarkStart w:id="1813" w:name="_Toc19373"/>
      <w:bookmarkStart w:id="1814" w:name="_Toc4172"/>
      <w:bookmarkStart w:id="1815" w:name="_Toc24714"/>
      <w:bookmarkStart w:id="1816" w:name="_Toc11015"/>
      <w:bookmarkStart w:id="1817" w:name="_Toc7253"/>
      <w:bookmarkStart w:id="1818" w:name="_Toc9087"/>
      <w:bookmarkStart w:id="1819" w:name="_Toc27062"/>
      <w:bookmarkStart w:id="1820" w:name="_Toc25929"/>
      <w:bookmarkStart w:id="1821" w:name="_Toc30315"/>
      <w:bookmarkStart w:id="1822" w:name="_Toc32587"/>
      <w:bookmarkStart w:id="1823" w:name="_Toc10736"/>
      <w:bookmarkStart w:id="1824" w:name="_Toc12853"/>
      <w:r>
        <w:rPr>
          <w:rFonts w:hint="eastAsia" w:ascii="仿宋_GB2312"/>
        </w:rPr>
        <w:t>附件二：</w:t>
      </w:r>
      <w:bookmarkEnd w:id="1812"/>
      <w:bookmarkEnd w:id="1813"/>
      <w:bookmarkEnd w:id="1814"/>
      <w:bookmarkEnd w:id="1815"/>
      <w:bookmarkEnd w:id="1816"/>
      <w:bookmarkEnd w:id="1817"/>
      <w:bookmarkEnd w:id="1818"/>
      <w:bookmarkEnd w:id="1819"/>
      <w:bookmarkEnd w:id="1820"/>
      <w:bookmarkEnd w:id="1821"/>
      <w:bookmarkEnd w:id="1822"/>
      <w:bookmarkEnd w:id="1823"/>
      <w:bookmarkEnd w:id="1824"/>
    </w:p>
    <w:p>
      <w:pPr>
        <w:pStyle w:val="2"/>
        <w:numPr>
          <w:ilvl w:val="0"/>
          <w:numId w:val="0"/>
        </w:numPr>
        <w:ind w:left="420"/>
      </w:pPr>
    </w:p>
    <w:p>
      <w:pPr>
        <w:pStyle w:val="5"/>
      </w:pPr>
      <w:bookmarkStart w:id="1825" w:name="_Toc7553"/>
      <w:bookmarkStart w:id="1826" w:name="_Toc17401"/>
      <w:bookmarkStart w:id="1827" w:name="_Toc28817"/>
      <w:bookmarkStart w:id="1828" w:name="_Toc10546"/>
      <w:bookmarkStart w:id="1829" w:name="_Toc19177"/>
      <w:bookmarkStart w:id="1830" w:name="_Toc10095"/>
      <w:bookmarkStart w:id="1831" w:name="_Toc21660"/>
      <w:r>
        <w:rPr>
          <w:rFonts w:hint="eastAsia"/>
        </w:rPr>
        <w:t>江苏省住房和城乡建设厅</w:t>
      </w:r>
      <w:bookmarkEnd w:id="1825"/>
      <w:bookmarkEnd w:id="1826"/>
      <w:bookmarkEnd w:id="1827"/>
      <w:bookmarkEnd w:id="1828"/>
      <w:bookmarkEnd w:id="1829"/>
      <w:bookmarkEnd w:id="1830"/>
      <w:bookmarkEnd w:id="1831"/>
    </w:p>
    <w:p>
      <w:pPr>
        <w:spacing w:line="480" w:lineRule="auto"/>
        <w:ind w:firstLine="560"/>
        <w:jc w:val="center"/>
        <w:rPr>
          <w:b/>
          <w:bCs/>
          <w:color w:val="FF0000"/>
          <w:sz w:val="64"/>
          <w:szCs w:val="10"/>
        </w:rPr>
      </w:pPr>
      <w:r>
        <w:rPr>
          <w:color w:val="000000"/>
          <w:szCs w:val="18"/>
        </w:rPr>
        <w:pict>
          <v:rect id="_x0000_i1028" o:spt="1" style="height:1.5pt;width:0.05pt;" fillcolor="#FF0000" filled="t" stroked="f" coordsize="21600,21600" o:hr="t" o:hrstd="t" o:hrnoshade="t" o:hralign="center">
            <v:path/>
            <v:fill on="t" focussize="0,0"/>
            <v:stroke on="f"/>
            <v:imagedata o:title=""/>
            <o:lock v:ext="edit"/>
            <w10:wrap type="none"/>
            <w10:anchorlock/>
          </v:rect>
        </w:pict>
      </w:r>
    </w:p>
    <w:p>
      <w:pPr>
        <w:pStyle w:val="4"/>
      </w:pPr>
      <w:bookmarkStart w:id="1832" w:name="_Toc1859"/>
      <w:bookmarkStart w:id="1833" w:name="_Toc22691"/>
      <w:bookmarkStart w:id="1834" w:name="_Toc24152"/>
      <w:bookmarkStart w:id="1835" w:name="_Toc22712"/>
      <w:bookmarkStart w:id="1836" w:name="_Toc2144"/>
      <w:bookmarkStart w:id="1837" w:name="_Toc19953"/>
      <w:bookmarkStart w:id="1838" w:name="_Toc29483"/>
      <w:bookmarkStart w:id="1839" w:name="_Toc23503"/>
      <w:bookmarkStart w:id="1840" w:name="_Toc7002"/>
      <w:bookmarkStart w:id="1841" w:name="_Toc4046"/>
      <w:bookmarkStart w:id="1842" w:name="_Toc3066"/>
      <w:r>
        <w:rPr>
          <w:rFonts w:hint="eastAsia"/>
        </w:rPr>
        <w:t>苏建函价〔</w:t>
      </w:r>
      <w:r>
        <w:t>2010</w:t>
      </w:r>
      <w:r>
        <w:rPr>
          <w:rFonts w:hint="eastAsia"/>
        </w:rPr>
        <w:t>〕</w:t>
      </w:r>
      <w:r>
        <w:t>130</w:t>
      </w:r>
      <w:r>
        <w:rPr>
          <w:rFonts w:hint="eastAsia"/>
        </w:rPr>
        <w:t>号</w:t>
      </w:r>
      <w:bookmarkEnd w:id="1832"/>
      <w:bookmarkEnd w:id="1833"/>
      <w:bookmarkEnd w:id="1834"/>
      <w:bookmarkEnd w:id="1835"/>
      <w:bookmarkEnd w:id="1836"/>
      <w:bookmarkEnd w:id="1837"/>
      <w:bookmarkEnd w:id="1838"/>
      <w:bookmarkEnd w:id="1839"/>
      <w:bookmarkEnd w:id="1840"/>
      <w:bookmarkEnd w:id="1841"/>
      <w:bookmarkEnd w:id="1842"/>
    </w:p>
    <w:p>
      <w:pPr>
        <w:ind w:firstLine="560"/>
      </w:pPr>
    </w:p>
    <w:p>
      <w:pPr>
        <w:pStyle w:val="3"/>
      </w:pPr>
      <w:r>
        <w:rPr>
          <w:rFonts w:hint="eastAsia"/>
        </w:rPr>
        <w:t xml:space="preserve">  </w:t>
      </w:r>
      <w:bookmarkStart w:id="1843" w:name="_Toc9254"/>
      <w:bookmarkStart w:id="1844" w:name="_Toc29956"/>
      <w:bookmarkStart w:id="1845" w:name="_Toc32300"/>
      <w:bookmarkStart w:id="1846" w:name="_Toc23518"/>
      <w:bookmarkStart w:id="1847" w:name="_Toc20648"/>
      <w:bookmarkStart w:id="1848" w:name="_Toc17454"/>
      <w:bookmarkStart w:id="1849" w:name="_Toc16213"/>
      <w:bookmarkStart w:id="1850" w:name="_Toc26540"/>
      <w:bookmarkStart w:id="1851" w:name="_Toc2774"/>
      <w:bookmarkStart w:id="1852" w:name="_Toc24142"/>
      <w:bookmarkStart w:id="1853" w:name="_Toc28176"/>
      <w:bookmarkStart w:id="1854" w:name="_Toc6751"/>
      <w:bookmarkStart w:id="1855" w:name="_Toc5687"/>
      <w:bookmarkStart w:id="1856" w:name="_Toc3658"/>
      <w:r>
        <w:rPr>
          <w:rFonts w:hint="eastAsia"/>
        </w:rPr>
        <w:t>关于明确《建设工程工程量清单计价规范》</w:t>
      </w:r>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p>
    <w:p>
      <w:pPr>
        <w:pStyle w:val="3"/>
      </w:pPr>
      <w:bookmarkStart w:id="1857" w:name="_Toc8350"/>
      <w:bookmarkStart w:id="1858" w:name="_Toc8092"/>
      <w:bookmarkStart w:id="1859" w:name="_Toc22308"/>
      <w:bookmarkStart w:id="1860" w:name="_Toc25994"/>
      <w:bookmarkStart w:id="1861" w:name="_Toc23900"/>
      <w:bookmarkStart w:id="1862" w:name="_Toc12146"/>
      <w:bookmarkStart w:id="1863" w:name="_Toc23710"/>
      <w:bookmarkStart w:id="1864" w:name="_Toc29296"/>
      <w:bookmarkStart w:id="1865" w:name="_Toc9931"/>
      <w:bookmarkStart w:id="1866" w:name="_Toc1877"/>
      <w:bookmarkStart w:id="1867" w:name="_Toc26247"/>
      <w:bookmarkStart w:id="1868" w:name="_Toc6542"/>
      <w:bookmarkStart w:id="1869" w:name="_Toc13357"/>
      <w:bookmarkStart w:id="1870" w:name="_Toc10502"/>
      <w:r>
        <w:rPr>
          <w:rFonts w:hint="eastAsia"/>
        </w:rPr>
        <w:t>（GB50500-2008）执行中的有关问题的通知</w:t>
      </w:r>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p>
    <w:p>
      <w:pPr>
        <w:spacing w:line="600" w:lineRule="exact"/>
        <w:ind w:firstLine="560"/>
        <w:rPr>
          <w:rFonts w:ascii="仿宋_GB2312"/>
          <w:kern w:val="0"/>
          <w:szCs w:val="30"/>
        </w:rPr>
      </w:pPr>
    </w:p>
    <w:p>
      <w:pPr>
        <w:ind w:firstLine="0" w:firstLineChars="0"/>
        <w:rPr>
          <w:rFonts w:ascii="仿宋_GB2312"/>
          <w:kern w:val="0"/>
          <w:sz w:val="32"/>
          <w:szCs w:val="32"/>
        </w:rPr>
      </w:pPr>
      <w:r>
        <w:rPr>
          <w:rFonts w:hint="eastAsia" w:ascii="仿宋_GB2312"/>
          <w:kern w:val="0"/>
          <w:sz w:val="32"/>
          <w:szCs w:val="32"/>
        </w:rPr>
        <w:t>各市建设局（建委），各有关单位：</w:t>
      </w:r>
    </w:p>
    <w:p>
      <w:pPr>
        <w:ind w:firstLine="640"/>
        <w:rPr>
          <w:rFonts w:ascii="仿宋_GB2312"/>
          <w:bCs/>
          <w:sz w:val="32"/>
          <w:szCs w:val="32"/>
        </w:rPr>
      </w:pPr>
      <w:r>
        <w:rPr>
          <w:rFonts w:hint="eastAsia" w:ascii="仿宋_GB2312"/>
          <w:kern w:val="0"/>
          <w:sz w:val="32"/>
          <w:szCs w:val="32"/>
        </w:rPr>
        <w:t>为了更好地贯彻实施《建设工程工程量清单计价规范》（</w:t>
      </w:r>
      <w:r>
        <w:rPr>
          <w:rFonts w:ascii="仿宋_GB2312"/>
          <w:kern w:val="0"/>
          <w:sz w:val="32"/>
          <w:szCs w:val="32"/>
        </w:rPr>
        <w:t>GB50500-2008</w:t>
      </w:r>
      <w:r>
        <w:rPr>
          <w:rFonts w:hint="eastAsia" w:ascii="仿宋_GB2312"/>
          <w:kern w:val="0"/>
          <w:sz w:val="32"/>
          <w:szCs w:val="32"/>
        </w:rPr>
        <w:t>）（以下简称</w:t>
      </w:r>
      <w:r>
        <w:rPr>
          <w:rFonts w:ascii="仿宋_GB2312"/>
          <w:kern w:val="0"/>
          <w:sz w:val="32"/>
          <w:szCs w:val="32"/>
        </w:rPr>
        <w:t>“08</w:t>
      </w:r>
      <w:r>
        <w:rPr>
          <w:rFonts w:hint="eastAsia" w:ascii="仿宋_GB2312"/>
          <w:kern w:val="0"/>
          <w:sz w:val="32"/>
          <w:szCs w:val="32"/>
        </w:rPr>
        <w:t>规范</w:t>
      </w:r>
      <w:r>
        <w:rPr>
          <w:rFonts w:ascii="仿宋_GB2312"/>
          <w:kern w:val="0"/>
          <w:sz w:val="32"/>
          <w:szCs w:val="32"/>
        </w:rPr>
        <w:t>”</w:t>
      </w:r>
      <w:r>
        <w:rPr>
          <w:rFonts w:hint="eastAsia" w:ascii="仿宋_GB2312"/>
          <w:kern w:val="0"/>
          <w:sz w:val="32"/>
          <w:szCs w:val="32"/>
        </w:rPr>
        <w:t>），我厅于</w:t>
      </w:r>
      <w:r>
        <w:rPr>
          <w:rFonts w:ascii="仿宋_GB2312"/>
          <w:kern w:val="0"/>
          <w:sz w:val="32"/>
          <w:szCs w:val="32"/>
        </w:rPr>
        <w:t>2009</w:t>
      </w:r>
      <w:r>
        <w:rPr>
          <w:rFonts w:hint="eastAsia" w:ascii="仿宋_GB2312"/>
          <w:kern w:val="0"/>
          <w:sz w:val="32"/>
          <w:szCs w:val="32"/>
        </w:rPr>
        <w:t>年四季度在全省范围内组织了对</w:t>
      </w:r>
      <w:r>
        <w:rPr>
          <w:rFonts w:ascii="仿宋_GB2312"/>
          <w:kern w:val="0"/>
          <w:sz w:val="32"/>
          <w:szCs w:val="32"/>
        </w:rPr>
        <w:t>“08</w:t>
      </w:r>
      <w:r>
        <w:rPr>
          <w:rFonts w:hint="eastAsia" w:ascii="仿宋_GB2312"/>
          <w:kern w:val="0"/>
          <w:sz w:val="32"/>
          <w:szCs w:val="32"/>
        </w:rPr>
        <w:t>规范</w:t>
      </w:r>
      <w:r>
        <w:rPr>
          <w:rFonts w:ascii="仿宋_GB2312"/>
          <w:kern w:val="0"/>
          <w:sz w:val="32"/>
          <w:szCs w:val="32"/>
        </w:rPr>
        <w:t>”</w:t>
      </w:r>
      <w:r>
        <w:rPr>
          <w:rFonts w:hint="eastAsia" w:ascii="仿宋_GB2312"/>
          <w:kern w:val="0"/>
          <w:sz w:val="32"/>
          <w:szCs w:val="32"/>
        </w:rPr>
        <w:t>执行情况的调研。综合各市调研反映的情况，现对</w:t>
      </w:r>
      <w:r>
        <w:rPr>
          <w:rFonts w:ascii="仿宋_GB2312"/>
          <w:kern w:val="0"/>
          <w:sz w:val="32"/>
          <w:szCs w:val="32"/>
        </w:rPr>
        <w:t>“</w:t>
      </w:r>
      <w:r>
        <w:rPr>
          <w:rFonts w:ascii="仿宋_GB2312"/>
          <w:bCs/>
          <w:sz w:val="32"/>
          <w:szCs w:val="32"/>
        </w:rPr>
        <w:t>08</w:t>
      </w:r>
      <w:r>
        <w:rPr>
          <w:rFonts w:hint="eastAsia" w:ascii="仿宋_GB2312"/>
          <w:bCs/>
          <w:sz w:val="32"/>
          <w:szCs w:val="32"/>
        </w:rPr>
        <w:t>规范</w:t>
      </w:r>
      <w:r>
        <w:rPr>
          <w:rFonts w:ascii="仿宋_GB2312"/>
          <w:bCs/>
          <w:sz w:val="32"/>
          <w:szCs w:val="32"/>
        </w:rPr>
        <w:t>”</w:t>
      </w:r>
      <w:r>
        <w:rPr>
          <w:rFonts w:hint="eastAsia" w:ascii="仿宋_GB2312"/>
          <w:bCs/>
          <w:sz w:val="32"/>
          <w:szCs w:val="32"/>
        </w:rPr>
        <w:t>执行中的有关问题明确如下：</w:t>
      </w:r>
    </w:p>
    <w:p>
      <w:pPr>
        <w:ind w:firstLine="643"/>
        <w:rPr>
          <w:rFonts w:ascii="仿宋_GB2312"/>
          <w:b/>
          <w:bCs/>
          <w:kern w:val="0"/>
          <w:sz w:val="32"/>
          <w:szCs w:val="32"/>
        </w:rPr>
      </w:pPr>
      <w:r>
        <w:rPr>
          <w:rFonts w:hint="eastAsia" w:ascii="仿宋_GB2312"/>
          <w:b/>
          <w:bCs/>
          <w:kern w:val="0"/>
          <w:sz w:val="32"/>
          <w:szCs w:val="32"/>
        </w:rPr>
        <w:t>一、分部分项工程量清单综合单价分析表</w:t>
      </w:r>
    </w:p>
    <w:p>
      <w:pPr>
        <w:ind w:firstLine="640"/>
        <w:rPr>
          <w:rFonts w:ascii="仿宋_GB2312"/>
          <w:kern w:val="0"/>
          <w:sz w:val="32"/>
          <w:szCs w:val="32"/>
        </w:rPr>
      </w:pPr>
      <w:r>
        <w:rPr>
          <w:rFonts w:hint="eastAsia" w:ascii="仿宋_GB2312"/>
          <w:kern w:val="0"/>
          <w:sz w:val="32"/>
          <w:szCs w:val="32"/>
        </w:rPr>
        <w:t>在建设工程招投标时，投标人仅需提供《分部分项工程量清单综合单价分析表》（表</w:t>
      </w:r>
      <w:r>
        <w:rPr>
          <w:rFonts w:ascii="仿宋_GB2312"/>
          <w:kern w:val="0"/>
          <w:sz w:val="32"/>
          <w:szCs w:val="32"/>
        </w:rPr>
        <w:t>09</w:t>
      </w:r>
      <w:r>
        <w:rPr>
          <w:rFonts w:hint="eastAsia" w:ascii="仿宋_GB2312"/>
          <w:kern w:val="0"/>
          <w:sz w:val="32"/>
          <w:szCs w:val="32"/>
        </w:rPr>
        <w:t>）的书面文档正本一份，同时提供该分析表的电子文档。</w:t>
      </w:r>
    </w:p>
    <w:p>
      <w:pPr>
        <w:ind w:firstLine="643"/>
        <w:rPr>
          <w:rFonts w:ascii="仿宋_GB2312"/>
          <w:b/>
          <w:bCs/>
          <w:kern w:val="0"/>
          <w:sz w:val="32"/>
          <w:szCs w:val="32"/>
        </w:rPr>
      </w:pPr>
      <w:r>
        <w:rPr>
          <w:rFonts w:hint="eastAsia" w:ascii="仿宋_GB2312"/>
          <w:b/>
          <w:bCs/>
          <w:kern w:val="0"/>
          <w:sz w:val="32"/>
          <w:szCs w:val="32"/>
        </w:rPr>
        <w:t>二、同一招标工程的项目清单编码</w:t>
      </w:r>
    </w:p>
    <w:p>
      <w:pPr>
        <w:ind w:firstLine="640"/>
        <w:rPr>
          <w:rFonts w:ascii="仿宋_GB2312"/>
          <w:kern w:val="0"/>
          <w:sz w:val="32"/>
          <w:szCs w:val="32"/>
        </w:rPr>
      </w:pPr>
      <w:r>
        <w:rPr>
          <w:rFonts w:ascii="仿宋_GB2312"/>
          <w:kern w:val="0"/>
          <w:sz w:val="32"/>
          <w:szCs w:val="32"/>
        </w:rPr>
        <w:t>“08</w:t>
      </w:r>
      <w:r>
        <w:rPr>
          <w:rFonts w:hint="eastAsia" w:ascii="仿宋_GB2312"/>
          <w:kern w:val="0"/>
          <w:sz w:val="32"/>
          <w:szCs w:val="32"/>
        </w:rPr>
        <w:t>规范</w:t>
      </w:r>
      <w:r>
        <w:rPr>
          <w:rFonts w:ascii="仿宋_GB2312"/>
          <w:kern w:val="0"/>
          <w:sz w:val="32"/>
          <w:szCs w:val="32"/>
        </w:rPr>
        <w:t>”</w:t>
      </w:r>
      <w:r>
        <w:rPr>
          <w:rFonts w:hint="eastAsia" w:ascii="仿宋_GB2312"/>
          <w:kern w:val="0"/>
          <w:sz w:val="32"/>
          <w:szCs w:val="32"/>
        </w:rPr>
        <w:t>规定</w:t>
      </w:r>
      <w:r>
        <w:rPr>
          <w:rFonts w:ascii="仿宋_GB2312"/>
          <w:kern w:val="0"/>
          <w:sz w:val="32"/>
          <w:szCs w:val="32"/>
        </w:rPr>
        <w:t>“</w:t>
      </w:r>
      <w:r>
        <w:rPr>
          <w:rFonts w:hint="eastAsia" w:ascii="仿宋_GB2312"/>
          <w:kern w:val="0"/>
          <w:sz w:val="32"/>
          <w:szCs w:val="32"/>
        </w:rPr>
        <w:t>同一招标工程的项目编码不得有重复</w:t>
      </w:r>
      <w:r>
        <w:rPr>
          <w:rFonts w:ascii="仿宋_GB2312"/>
          <w:kern w:val="0"/>
          <w:sz w:val="32"/>
          <w:szCs w:val="32"/>
        </w:rPr>
        <w:t>”</w:t>
      </w:r>
      <w:r>
        <w:rPr>
          <w:rFonts w:hint="eastAsia" w:ascii="仿宋_GB2312"/>
          <w:kern w:val="0"/>
          <w:sz w:val="32"/>
          <w:szCs w:val="32"/>
        </w:rPr>
        <w:t>。现调整为：同一单位工程的项目编码不得有重复，不强制要求同一招标工程的项目编码不得重复。</w:t>
      </w:r>
    </w:p>
    <w:p>
      <w:pPr>
        <w:ind w:firstLine="643"/>
        <w:rPr>
          <w:rFonts w:ascii="仿宋_GB2312"/>
          <w:b/>
          <w:bCs/>
          <w:kern w:val="0"/>
          <w:sz w:val="32"/>
          <w:szCs w:val="32"/>
        </w:rPr>
      </w:pPr>
      <w:r>
        <w:rPr>
          <w:rFonts w:hint="eastAsia" w:ascii="仿宋_GB2312"/>
          <w:b/>
          <w:bCs/>
          <w:kern w:val="0"/>
          <w:sz w:val="32"/>
          <w:szCs w:val="32"/>
        </w:rPr>
        <w:t>三、工程量计算规则不明确时的处理原则</w:t>
      </w:r>
    </w:p>
    <w:p>
      <w:pPr>
        <w:ind w:firstLine="640"/>
        <w:rPr>
          <w:rFonts w:ascii="仿宋_GB2312"/>
          <w:b/>
          <w:kern w:val="0"/>
          <w:sz w:val="32"/>
          <w:szCs w:val="32"/>
        </w:rPr>
      </w:pPr>
      <w:r>
        <w:rPr>
          <w:rFonts w:ascii="仿宋_GB2312"/>
          <w:kern w:val="0"/>
          <w:sz w:val="32"/>
          <w:szCs w:val="32"/>
        </w:rPr>
        <w:t>“08</w:t>
      </w:r>
      <w:r>
        <w:rPr>
          <w:rFonts w:hint="eastAsia" w:ascii="仿宋_GB2312"/>
          <w:kern w:val="0"/>
          <w:sz w:val="32"/>
          <w:szCs w:val="32"/>
        </w:rPr>
        <w:t>规范</w:t>
      </w:r>
      <w:r>
        <w:rPr>
          <w:rFonts w:ascii="仿宋_GB2312"/>
          <w:kern w:val="0"/>
          <w:sz w:val="32"/>
          <w:szCs w:val="32"/>
        </w:rPr>
        <w:t>”</w:t>
      </w:r>
      <w:r>
        <w:rPr>
          <w:rFonts w:hint="eastAsia" w:ascii="仿宋_GB2312"/>
          <w:kern w:val="0"/>
          <w:sz w:val="32"/>
          <w:szCs w:val="32"/>
        </w:rPr>
        <w:t>附录中部分清单项目的工程量计算规则表述不够具体时，原则上可以参照规范附录中相似项目的工程量计算规则及对应的江苏省各专业计价表的工程量计算规则，并且应在工程量清单编制总说明中明确。</w:t>
      </w:r>
    </w:p>
    <w:p>
      <w:pPr>
        <w:ind w:firstLine="643"/>
        <w:rPr>
          <w:rFonts w:ascii="仿宋_GB2312"/>
          <w:b/>
          <w:bCs/>
          <w:kern w:val="0"/>
          <w:sz w:val="32"/>
          <w:szCs w:val="32"/>
        </w:rPr>
      </w:pPr>
      <w:r>
        <w:rPr>
          <w:rFonts w:hint="eastAsia" w:ascii="仿宋_GB2312"/>
          <w:b/>
          <w:bCs/>
          <w:kern w:val="0"/>
          <w:sz w:val="32"/>
          <w:szCs w:val="32"/>
        </w:rPr>
        <w:t>四、项目特征中“品牌”标注问题</w:t>
      </w:r>
    </w:p>
    <w:p>
      <w:pPr>
        <w:ind w:firstLine="640"/>
        <w:rPr>
          <w:rFonts w:ascii="仿宋_GB2312"/>
          <w:kern w:val="0"/>
          <w:sz w:val="32"/>
          <w:szCs w:val="32"/>
        </w:rPr>
      </w:pPr>
      <w:r>
        <w:rPr>
          <w:rFonts w:hint="eastAsia" w:ascii="仿宋_GB2312"/>
          <w:kern w:val="0"/>
          <w:sz w:val="32"/>
          <w:szCs w:val="32"/>
        </w:rPr>
        <w:t>按照</w:t>
      </w:r>
      <w:r>
        <w:rPr>
          <w:rFonts w:ascii="仿宋_GB2312"/>
          <w:kern w:val="0"/>
          <w:sz w:val="32"/>
          <w:szCs w:val="32"/>
        </w:rPr>
        <w:t>“08</w:t>
      </w:r>
      <w:r>
        <w:rPr>
          <w:rFonts w:hint="eastAsia" w:ascii="仿宋_GB2312"/>
          <w:kern w:val="0"/>
          <w:sz w:val="32"/>
          <w:szCs w:val="32"/>
        </w:rPr>
        <w:t>规范</w:t>
      </w:r>
      <w:r>
        <w:rPr>
          <w:rFonts w:ascii="仿宋_GB2312"/>
          <w:kern w:val="0"/>
          <w:sz w:val="32"/>
          <w:szCs w:val="32"/>
        </w:rPr>
        <w:t>”</w:t>
      </w:r>
      <w:r>
        <w:rPr>
          <w:rFonts w:hint="eastAsia" w:ascii="仿宋_GB2312"/>
          <w:kern w:val="0"/>
          <w:sz w:val="32"/>
          <w:szCs w:val="32"/>
        </w:rPr>
        <w:t>附录规定，部分分部分项工程量清单的项目特征中要求列出</w:t>
      </w:r>
      <w:r>
        <w:rPr>
          <w:rFonts w:ascii="仿宋_GB2312"/>
          <w:kern w:val="0"/>
          <w:sz w:val="32"/>
          <w:szCs w:val="32"/>
        </w:rPr>
        <w:t>“</w:t>
      </w:r>
      <w:r>
        <w:rPr>
          <w:rFonts w:hint="eastAsia" w:ascii="仿宋_GB2312"/>
          <w:kern w:val="0"/>
          <w:sz w:val="32"/>
          <w:szCs w:val="32"/>
        </w:rPr>
        <w:t>品牌</w:t>
      </w:r>
      <w:r>
        <w:rPr>
          <w:rFonts w:ascii="仿宋_GB2312"/>
          <w:kern w:val="0"/>
          <w:sz w:val="32"/>
          <w:szCs w:val="32"/>
        </w:rPr>
        <w:t>”</w:t>
      </w:r>
      <w:r>
        <w:rPr>
          <w:rFonts w:hint="eastAsia" w:ascii="仿宋_GB2312"/>
          <w:kern w:val="0"/>
          <w:sz w:val="32"/>
          <w:szCs w:val="32"/>
        </w:rPr>
        <w:t>。结合《中华人民共和国招投标法》第二十条规定：</w:t>
      </w:r>
      <w:r>
        <w:rPr>
          <w:rFonts w:ascii="仿宋_GB2312"/>
          <w:kern w:val="0"/>
          <w:sz w:val="32"/>
          <w:szCs w:val="32"/>
        </w:rPr>
        <w:t xml:space="preserve"> “</w:t>
      </w:r>
      <w:r>
        <w:rPr>
          <w:rFonts w:hint="eastAsia" w:ascii="仿宋_GB2312"/>
          <w:kern w:val="0"/>
          <w:sz w:val="32"/>
          <w:szCs w:val="32"/>
        </w:rPr>
        <w:t>招标文件不得要求或者标明特定的生产供应者以及含有倾向或者排斥潜在投标人的其他内容</w:t>
      </w:r>
      <w:r>
        <w:rPr>
          <w:rFonts w:ascii="仿宋_GB2312"/>
          <w:kern w:val="0"/>
          <w:sz w:val="32"/>
          <w:szCs w:val="32"/>
        </w:rPr>
        <w:t>”</w:t>
      </w:r>
      <w:r>
        <w:rPr>
          <w:rFonts w:hint="eastAsia" w:ascii="仿宋_GB2312"/>
          <w:kern w:val="0"/>
          <w:sz w:val="32"/>
          <w:szCs w:val="32"/>
        </w:rPr>
        <w:t>，现调整为：</w:t>
      </w:r>
      <w:r>
        <w:rPr>
          <w:rFonts w:ascii="仿宋_GB2312"/>
          <w:kern w:val="0"/>
          <w:sz w:val="32"/>
          <w:szCs w:val="32"/>
        </w:rPr>
        <w:t>“08</w:t>
      </w:r>
      <w:r>
        <w:rPr>
          <w:rFonts w:hint="eastAsia" w:ascii="仿宋_GB2312"/>
          <w:kern w:val="0"/>
          <w:sz w:val="32"/>
          <w:szCs w:val="32"/>
        </w:rPr>
        <w:t>规范</w:t>
      </w:r>
      <w:r>
        <w:rPr>
          <w:rFonts w:ascii="仿宋_GB2312"/>
          <w:kern w:val="0"/>
          <w:sz w:val="32"/>
          <w:szCs w:val="32"/>
        </w:rPr>
        <w:t>”</w:t>
      </w:r>
      <w:r>
        <w:rPr>
          <w:rFonts w:hint="eastAsia" w:ascii="仿宋_GB2312"/>
          <w:kern w:val="0"/>
          <w:sz w:val="32"/>
          <w:szCs w:val="32"/>
        </w:rPr>
        <w:t>中要求在项目特征中列出品牌的清单项目，在列出品牌时，不能只列某一厂家的产品品牌，</w:t>
      </w:r>
      <w:r>
        <w:rPr>
          <w:rFonts w:hint="eastAsia" w:ascii="仿宋_GB2312"/>
          <w:sz w:val="32"/>
          <w:szCs w:val="32"/>
        </w:rPr>
        <w:t>必须列出三家及三家以上符合要求的厂家品牌同档次产品供投标人选择。</w:t>
      </w:r>
    </w:p>
    <w:p>
      <w:pPr>
        <w:ind w:firstLine="643"/>
        <w:rPr>
          <w:rFonts w:ascii="仿宋_GB2312"/>
          <w:b/>
          <w:bCs/>
          <w:kern w:val="0"/>
          <w:sz w:val="32"/>
          <w:szCs w:val="32"/>
        </w:rPr>
      </w:pPr>
      <w:r>
        <w:rPr>
          <w:rFonts w:hint="eastAsia" w:ascii="仿宋_GB2312"/>
          <w:b/>
          <w:bCs/>
          <w:kern w:val="0"/>
          <w:sz w:val="32"/>
          <w:szCs w:val="32"/>
        </w:rPr>
        <w:t>五、工程量清单项目有关情况的确定原则</w:t>
      </w:r>
    </w:p>
    <w:p>
      <w:pPr>
        <w:ind w:firstLine="640"/>
        <w:rPr>
          <w:rFonts w:ascii="仿宋_GB2312"/>
          <w:kern w:val="0"/>
          <w:sz w:val="32"/>
          <w:szCs w:val="32"/>
        </w:rPr>
      </w:pPr>
      <w:r>
        <w:rPr>
          <w:rFonts w:ascii="仿宋_GB2312"/>
          <w:kern w:val="0"/>
          <w:sz w:val="32"/>
          <w:szCs w:val="32"/>
        </w:rPr>
        <w:t>1</w:t>
      </w:r>
      <w:r>
        <w:rPr>
          <w:rFonts w:hint="eastAsia" w:ascii="仿宋_GB2312"/>
          <w:kern w:val="0"/>
          <w:sz w:val="32"/>
          <w:szCs w:val="32"/>
        </w:rPr>
        <w:t>、当个别实体项目招标人未提供设计图纸和工程量清单，而要求投标人自行考虑自主报价时，除施工合同另有约定外，该实体项目费用在竣工结算时应按投标时标准计取。</w:t>
      </w:r>
    </w:p>
    <w:p>
      <w:pPr>
        <w:ind w:firstLine="640"/>
        <w:rPr>
          <w:rFonts w:ascii="仿宋_GB2312"/>
          <w:kern w:val="0"/>
          <w:sz w:val="32"/>
          <w:szCs w:val="32"/>
        </w:rPr>
      </w:pPr>
      <w:r>
        <w:rPr>
          <w:rFonts w:ascii="仿宋_GB2312"/>
          <w:kern w:val="0"/>
          <w:sz w:val="32"/>
          <w:szCs w:val="32"/>
        </w:rPr>
        <w:t>2</w:t>
      </w:r>
      <w:r>
        <w:rPr>
          <w:rFonts w:hint="eastAsia" w:ascii="仿宋_GB2312"/>
          <w:kern w:val="0"/>
          <w:sz w:val="32"/>
          <w:szCs w:val="32"/>
        </w:rPr>
        <w:t>、招标人提供设计图纸的非实体项目，应作为分部分项项目性质对待。</w:t>
      </w:r>
    </w:p>
    <w:p>
      <w:pPr>
        <w:ind w:firstLine="640"/>
        <w:rPr>
          <w:rFonts w:ascii="仿宋_GB2312"/>
          <w:kern w:val="0"/>
          <w:sz w:val="32"/>
          <w:szCs w:val="32"/>
        </w:rPr>
      </w:pPr>
      <w:r>
        <w:rPr>
          <w:rFonts w:ascii="仿宋_GB2312"/>
          <w:kern w:val="0"/>
          <w:sz w:val="32"/>
          <w:szCs w:val="32"/>
        </w:rPr>
        <w:t>3</w:t>
      </w:r>
      <w:r>
        <w:rPr>
          <w:rFonts w:hint="eastAsia" w:ascii="仿宋_GB2312"/>
          <w:kern w:val="0"/>
          <w:sz w:val="32"/>
          <w:szCs w:val="32"/>
        </w:rPr>
        <w:t>、当清单项目部分特征内容要求投标人自行确定并自主报价时，除施工合同另有约定外，该部分项目特征费用应以投标书中的项目特征为依据进行竣工结算。</w:t>
      </w:r>
    </w:p>
    <w:p>
      <w:pPr>
        <w:ind w:firstLine="643"/>
        <w:rPr>
          <w:rFonts w:ascii="仿宋_GB2312"/>
          <w:b/>
          <w:bCs/>
          <w:kern w:val="0"/>
          <w:sz w:val="32"/>
          <w:szCs w:val="32"/>
        </w:rPr>
      </w:pPr>
      <w:r>
        <w:rPr>
          <w:rFonts w:hint="eastAsia" w:ascii="仿宋_GB2312"/>
          <w:b/>
          <w:bCs/>
          <w:kern w:val="0"/>
          <w:sz w:val="32"/>
          <w:szCs w:val="32"/>
        </w:rPr>
        <w:t>六、关于暂列金额与计日工报价问题</w:t>
      </w:r>
    </w:p>
    <w:p>
      <w:pPr>
        <w:ind w:firstLine="640"/>
        <w:rPr>
          <w:rFonts w:ascii="仿宋_GB2312"/>
          <w:kern w:val="0"/>
          <w:sz w:val="32"/>
          <w:szCs w:val="32"/>
        </w:rPr>
      </w:pPr>
      <w:r>
        <w:rPr>
          <w:rFonts w:hint="eastAsia" w:ascii="仿宋_GB2312"/>
          <w:kern w:val="0"/>
          <w:sz w:val="32"/>
          <w:szCs w:val="32"/>
        </w:rPr>
        <w:t>暂列金额或计日工作为今后有可能发生也可能不发生的费用，当招标人要求投标人对暂列金额或计日工进行报价，但投标人未填报暂列金额或计日工费用时，不能视作该费用已隐含在其它项目费用之中，应视同没有响应招标文件要求。</w:t>
      </w:r>
    </w:p>
    <w:p>
      <w:pPr>
        <w:ind w:firstLine="643"/>
        <w:rPr>
          <w:rFonts w:ascii="仿宋_GB2312"/>
          <w:b/>
          <w:bCs/>
          <w:kern w:val="0"/>
          <w:sz w:val="32"/>
          <w:szCs w:val="32"/>
        </w:rPr>
      </w:pPr>
      <w:r>
        <w:rPr>
          <w:rFonts w:hint="eastAsia" w:ascii="仿宋_GB2312"/>
          <w:b/>
          <w:bCs/>
          <w:kern w:val="0"/>
          <w:sz w:val="32"/>
          <w:szCs w:val="32"/>
        </w:rPr>
        <w:t>七、非砼材料的基础垫层的工程量清单编制规定</w:t>
      </w:r>
    </w:p>
    <w:p>
      <w:pPr>
        <w:ind w:firstLine="640"/>
        <w:rPr>
          <w:rFonts w:ascii="仿宋_GB2312"/>
          <w:kern w:val="0"/>
          <w:sz w:val="32"/>
          <w:szCs w:val="32"/>
        </w:rPr>
      </w:pPr>
      <w:r>
        <w:rPr>
          <w:rFonts w:hint="eastAsia" w:ascii="仿宋_GB2312"/>
          <w:kern w:val="0"/>
          <w:sz w:val="32"/>
          <w:szCs w:val="32"/>
        </w:rPr>
        <w:t>“</w:t>
      </w:r>
      <w:r>
        <w:rPr>
          <w:rFonts w:ascii="仿宋_GB2312"/>
          <w:kern w:val="0"/>
          <w:sz w:val="32"/>
          <w:szCs w:val="32"/>
        </w:rPr>
        <w:t>08</w:t>
      </w:r>
      <w:r>
        <w:rPr>
          <w:rFonts w:hint="eastAsia" w:ascii="仿宋_GB2312"/>
          <w:kern w:val="0"/>
          <w:sz w:val="32"/>
          <w:szCs w:val="32"/>
        </w:rPr>
        <w:t>规范”附录中项目编码为</w:t>
      </w:r>
      <w:r>
        <w:rPr>
          <w:rFonts w:ascii="仿宋_GB2312"/>
          <w:kern w:val="0"/>
          <w:sz w:val="32"/>
          <w:szCs w:val="32"/>
        </w:rPr>
        <w:t>010401006</w:t>
      </w:r>
      <w:r>
        <w:rPr>
          <w:rFonts w:hint="eastAsia" w:ascii="仿宋_GB2312"/>
          <w:kern w:val="0"/>
          <w:sz w:val="32"/>
          <w:szCs w:val="32"/>
        </w:rPr>
        <w:t>的垫层项目只适用于基础砼垫层，对于采用其他材料的基础垫层，按下表规定编制：</w:t>
      </w:r>
    </w:p>
    <w:p>
      <w:pPr>
        <w:ind w:firstLine="643"/>
        <w:jc w:val="center"/>
        <w:rPr>
          <w:rFonts w:ascii="仿宋_GB2312"/>
          <w:b/>
          <w:sz w:val="32"/>
          <w:szCs w:val="32"/>
        </w:rPr>
      </w:pPr>
      <w:r>
        <w:rPr>
          <w:rFonts w:hint="eastAsia" w:ascii="仿宋_GB2312"/>
          <w:b/>
          <w:sz w:val="32"/>
          <w:szCs w:val="32"/>
        </w:rPr>
        <w:t>表</w:t>
      </w:r>
      <w:r>
        <w:rPr>
          <w:rFonts w:ascii="仿宋_GB2312"/>
          <w:b/>
          <w:sz w:val="32"/>
          <w:szCs w:val="32"/>
        </w:rPr>
        <w:t>A.3.8</w:t>
      </w:r>
      <w:r>
        <w:rPr>
          <w:rFonts w:hint="eastAsia" w:ascii="仿宋_GB2312"/>
          <w:b/>
          <w:sz w:val="32"/>
          <w:szCs w:val="32"/>
        </w:rPr>
        <w:t>垫层（编号：</w:t>
      </w:r>
      <w:r>
        <w:rPr>
          <w:rFonts w:ascii="仿宋_GB2312"/>
          <w:b/>
          <w:sz w:val="32"/>
          <w:szCs w:val="32"/>
        </w:rPr>
        <w:t>010308</w:t>
      </w:r>
      <w:r>
        <w:rPr>
          <w:rFonts w:hint="eastAsia" w:ascii="仿宋_GB2312"/>
          <w:b/>
          <w:sz w:val="32"/>
          <w:szCs w:val="32"/>
        </w:rPr>
        <w:t>）</w:t>
      </w:r>
    </w:p>
    <w:tbl>
      <w:tblPr>
        <w:tblStyle w:val="22"/>
        <w:tblW w:w="94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994"/>
        <w:gridCol w:w="1440"/>
        <w:gridCol w:w="934"/>
        <w:gridCol w:w="3149"/>
        <w:gridCol w:w="1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jc w:val="center"/>
        </w:trPr>
        <w:tc>
          <w:tcPr>
            <w:tcW w:w="1188"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项目编码</w:t>
            </w:r>
          </w:p>
        </w:tc>
        <w:tc>
          <w:tcPr>
            <w:tcW w:w="994"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项目名称</w:t>
            </w:r>
          </w:p>
        </w:tc>
        <w:tc>
          <w:tcPr>
            <w:tcW w:w="1440"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项目特征</w:t>
            </w:r>
          </w:p>
        </w:tc>
        <w:tc>
          <w:tcPr>
            <w:tcW w:w="934"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计量单位</w:t>
            </w:r>
          </w:p>
        </w:tc>
        <w:tc>
          <w:tcPr>
            <w:tcW w:w="3149"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工程量计算规则</w:t>
            </w:r>
          </w:p>
        </w:tc>
        <w:tc>
          <w:tcPr>
            <w:tcW w:w="1698"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工作内容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9" w:hRule="atLeast"/>
          <w:jc w:val="center"/>
        </w:trPr>
        <w:tc>
          <w:tcPr>
            <w:tcW w:w="1188"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010308001</w:t>
            </w:r>
          </w:p>
        </w:tc>
        <w:tc>
          <w:tcPr>
            <w:tcW w:w="994"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rPr>
            </w:pPr>
            <w:r>
              <w:rPr>
                <w:rFonts w:hint="eastAsia" w:ascii="仿宋_GB2312" w:hAnsi="宋体"/>
              </w:rPr>
              <w:t>垫层</w:t>
            </w:r>
          </w:p>
        </w:tc>
        <w:tc>
          <w:tcPr>
            <w:tcW w:w="1440"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rPr>
                <w:rFonts w:ascii="仿宋_GB2312" w:hAnsi="宋体"/>
              </w:rPr>
            </w:pPr>
            <w:r>
              <w:rPr>
                <w:rFonts w:hint="eastAsia" w:ascii="仿宋_GB2312" w:hAnsi="宋体"/>
              </w:rPr>
              <w:t>1.垫层材料种类、配合比</w:t>
            </w:r>
          </w:p>
          <w:p>
            <w:pPr>
              <w:spacing w:line="440" w:lineRule="exact"/>
              <w:ind w:firstLine="0" w:firstLineChars="0"/>
              <w:rPr>
                <w:rFonts w:ascii="仿宋_GB2312" w:hAnsi="宋体"/>
              </w:rPr>
            </w:pPr>
            <w:r>
              <w:rPr>
                <w:rFonts w:hint="eastAsia" w:ascii="仿宋_GB2312" w:hAnsi="宋体"/>
              </w:rPr>
              <w:t>2.垫层厚度</w:t>
            </w:r>
          </w:p>
        </w:tc>
        <w:tc>
          <w:tcPr>
            <w:tcW w:w="934"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jc w:val="center"/>
              <w:rPr>
                <w:rFonts w:ascii="仿宋_GB2312" w:hAnsi="宋体"/>
                <w:vertAlign w:val="superscript"/>
              </w:rPr>
            </w:pPr>
            <w:r>
              <w:rPr>
                <w:rFonts w:hint="eastAsia" w:ascii="仿宋_GB2312" w:hAnsi="宋体"/>
              </w:rPr>
              <w:t>m</w:t>
            </w:r>
            <w:r>
              <w:rPr>
                <w:rFonts w:hint="eastAsia" w:ascii="仿宋_GB2312" w:hAnsi="宋体"/>
                <w:vertAlign w:val="superscript"/>
              </w:rPr>
              <w:t>3</w:t>
            </w:r>
          </w:p>
        </w:tc>
        <w:tc>
          <w:tcPr>
            <w:tcW w:w="3149"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rPr>
                <w:rFonts w:ascii="仿宋_GB2312" w:hAnsi="宋体"/>
              </w:rPr>
            </w:pPr>
            <w:r>
              <w:rPr>
                <w:rFonts w:hint="eastAsia" w:ascii="仿宋_GB2312" w:hAnsi="宋体"/>
              </w:rPr>
              <w:t>基础垫层按设计图示尺寸以立方米计算。其中外墙基础垫层长度按外墙中心线长度计算，内墙基础垫层长度按内墙基础垫层净长计算。</w:t>
            </w:r>
          </w:p>
        </w:tc>
        <w:tc>
          <w:tcPr>
            <w:tcW w:w="1698" w:type="dxa"/>
            <w:tcBorders>
              <w:top w:val="single" w:color="auto" w:sz="4" w:space="0"/>
              <w:left w:val="single" w:color="auto" w:sz="4" w:space="0"/>
              <w:bottom w:val="single" w:color="auto" w:sz="4" w:space="0"/>
              <w:right w:val="single" w:color="auto" w:sz="4" w:space="0"/>
            </w:tcBorders>
            <w:vAlign w:val="center"/>
          </w:tcPr>
          <w:p>
            <w:pPr>
              <w:spacing w:line="440" w:lineRule="exact"/>
              <w:ind w:firstLine="0" w:firstLineChars="0"/>
              <w:rPr>
                <w:rFonts w:ascii="仿宋_GB2312" w:hAnsi="宋体"/>
              </w:rPr>
            </w:pPr>
            <w:r>
              <w:rPr>
                <w:rFonts w:hint="eastAsia" w:ascii="仿宋_GB2312" w:hAnsi="宋体"/>
              </w:rPr>
              <w:t>1.垫层材料的拌制</w:t>
            </w:r>
          </w:p>
          <w:p>
            <w:pPr>
              <w:spacing w:line="440" w:lineRule="exact"/>
              <w:ind w:firstLine="0" w:firstLineChars="0"/>
              <w:rPr>
                <w:rFonts w:ascii="仿宋_GB2312" w:hAnsi="宋体"/>
              </w:rPr>
            </w:pPr>
            <w:r>
              <w:rPr>
                <w:rFonts w:hint="eastAsia" w:ascii="仿宋_GB2312" w:hAnsi="宋体"/>
              </w:rPr>
              <w:t>2.垫层铺设</w:t>
            </w:r>
          </w:p>
          <w:p>
            <w:pPr>
              <w:spacing w:line="440" w:lineRule="exact"/>
              <w:ind w:firstLine="0" w:firstLineChars="0"/>
              <w:rPr>
                <w:rFonts w:ascii="仿宋_GB2312" w:hAnsi="宋体"/>
              </w:rPr>
            </w:pPr>
            <w:r>
              <w:rPr>
                <w:rFonts w:hint="eastAsia" w:ascii="仿宋_GB2312" w:hAnsi="宋体"/>
              </w:rPr>
              <w:t>3.材料运输</w:t>
            </w:r>
          </w:p>
        </w:tc>
      </w:tr>
    </w:tbl>
    <w:p>
      <w:pPr>
        <w:ind w:firstLine="643"/>
        <w:rPr>
          <w:rFonts w:ascii="仿宋_GB2312"/>
          <w:b/>
          <w:bCs/>
          <w:kern w:val="0"/>
          <w:sz w:val="32"/>
          <w:szCs w:val="32"/>
        </w:rPr>
      </w:pPr>
      <w:r>
        <w:rPr>
          <w:rFonts w:hint="eastAsia" w:ascii="仿宋_GB2312"/>
          <w:b/>
          <w:bCs/>
          <w:kern w:val="0"/>
          <w:sz w:val="32"/>
          <w:szCs w:val="32"/>
        </w:rPr>
        <w:t>八、附录A、附录B中有关调整规定</w:t>
      </w:r>
    </w:p>
    <w:p>
      <w:pPr>
        <w:ind w:firstLine="640"/>
        <w:rPr>
          <w:rFonts w:ascii="仿宋_GB2312"/>
          <w:kern w:val="0"/>
          <w:sz w:val="32"/>
          <w:szCs w:val="32"/>
        </w:rPr>
      </w:pPr>
      <w:r>
        <w:rPr>
          <w:rFonts w:ascii="仿宋_GB2312"/>
          <w:kern w:val="0"/>
          <w:sz w:val="32"/>
          <w:szCs w:val="32"/>
        </w:rPr>
        <w:t>1</w:t>
      </w:r>
      <w:r>
        <w:rPr>
          <w:rFonts w:hint="eastAsia" w:ascii="仿宋_GB2312"/>
          <w:kern w:val="0"/>
          <w:sz w:val="32"/>
          <w:szCs w:val="32"/>
        </w:rPr>
        <w:t>、</w:t>
      </w:r>
      <w:r>
        <w:rPr>
          <w:rFonts w:ascii="仿宋_GB2312"/>
          <w:kern w:val="0"/>
          <w:sz w:val="32"/>
          <w:szCs w:val="32"/>
        </w:rPr>
        <w:t>010305003</w:t>
      </w:r>
      <w:r>
        <w:rPr>
          <w:rFonts w:hint="eastAsia" w:ascii="仿宋_GB2312"/>
          <w:kern w:val="0"/>
          <w:sz w:val="32"/>
          <w:szCs w:val="32"/>
        </w:rPr>
        <w:t>项目工程量计算规则中</w:t>
      </w:r>
      <w:r>
        <w:rPr>
          <w:rFonts w:ascii="仿宋_GB2312"/>
          <w:kern w:val="0"/>
          <w:sz w:val="32"/>
          <w:szCs w:val="32"/>
        </w:rPr>
        <w:t>“</w:t>
      </w:r>
      <w:r>
        <w:rPr>
          <w:rFonts w:hint="eastAsia" w:ascii="仿宋_GB2312"/>
          <w:kern w:val="0"/>
          <w:sz w:val="32"/>
          <w:szCs w:val="32"/>
        </w:rPr>
        <w:t>（</w:t>
      </w:r>
      <w:r>
        <w:rPr>
          <w:rFonts w:ascii="仿宋_GB2312"/>
          <w:kern w:val="0"/>
          <w:sz w:val="32"/>
          <w:szCs w:val="32"/>
        </w:rPr>
        <w:t>2</w:t>
      </w:r>
      <w:r>
        <w:rPr>
          <w:rFonts w:hint="eastAsia" w:ascii="仿宋_GB2312"/>
          <w:kern w:val="0"/>
          <w:sz w:val="32"/>
          <w:szCs w:val="32"/>
        </w:rPr>
        <w:t>）内墙：</w:t>
      </w:r>
      <w:r>
        <w:rPr>
          <w:rFonts w:ascii="仿宋_GB2312"/>
          <w:kern w:val="0"/>
          <w:sz w:val="32"/>
          <w:szCs w:val="32"/>
        </w:rPr>
        <w:t>……</w:t>
      </w:r>
      <w:r>
        <w:rPr>
          <w:rFonts w:hint="eastAsia" w:ascii="仿宋_GB2312"/>
          <w:kern w:val="0"/>
          <w:sz w:val="32"/>
          <w:szCs w:val="32"/>
        </w:rPr>
        <w:t>算至楼板顶；有框架梁时算至梁底</w:t>
      </w:r>
      <w:r>
        <w:rPr>
          <w:rFonts w:ascii="仿宋_GB2312"/>
          <w:kern w:val="0"/>
          <w:sz w:val="32"/>
          <w:szCs w:val="32"/>
        </w:rPr>
        <w:t>”</w:t>
      </w:r>
      <w:r>
        <w:rPr>
          <w:rFonts w:hint="eastAsia" w:ascii="仿宋_GB2312"/>
          <w:kern w:val="0"/>
          <w:sz w:val="32"/>
          <w:szCs w:val="32"/>
        </w:rPr>
        <w:t>一段文字易产生岐义，现明确为</w:t>
      </w:r>
      <w:r>
        <w:rPr>
          <w:rFonts w:ascii="仿宋_GB2312"/>
          <w:kern w:val="0"/>
          <w:sz w:val="32"/>
          <w:szCs w:val="32"/>
        </w:rPr>
        <w:t>“</w:t>
      </w:r>
      <w:r>
        <w:rPr>
          <w:rFonts w:hint="eastAsia" w:ascii="仿宋_GB2312"/>
          <w:kern w:val="0"/>
          <w:sz w:val="32"/>
          <w:szCs w:val="32"/>
        </w:rPr>
        <w:t>（</w:t>
      </w:r>
      <w:r>
        <w:rPr>
          <w:rFonts w:ascii="仿宋_GB2312"/>
          <w:kern w:val="0"/>
          <w:sz w:val="32"/>
          <w:szCs w:val="32"/>
        </w:rPr>
        <w:t>2</w:t>
      </w:r>
      <w:r>
        <w:rPr>
          <w:rFonts w:hint="eastAsia" w:ascii="仿宋_GB2312"/>
          <w:kern w:val="0"/>
          <w:sz w:val="32"/>
          <w:szCs w:val="32"/>
        </w:rPr>
        <w:t>）内墙：</w:t>
      </w:r>
      <w:r>
        <w:rPr>
          <w:rFonts w:ascii="仿宋_GB2312"/>
          <w:kern w:val="0"/>
          <w:sz w:val="32"/>
          <w:szCs w:val="32"/>
        </w:rPr>
        <w:t>……</w:t>
      </w:r>
      <w:r>
        <w:rPr>
          <w:rFonts w:hint="eastAsia" w:ascii="仿宋_GB2312"/>
          <w:kern w:val="0"/>
          <w:sz w:val="32"/>
          <w:szCs w:val="32"/>
        </w:rPr>
        <w:t>算至楼板底；有框架梁时算至梁底</w:t>
      </w:r>
      <w:r>
        <w:rPr>
          <w:rFonts w:ascii="仿宋_GB2312"/>
          <w:kern w:val="0"/>
          <w:sz w:val="32"/>
          <w:szCs w:val="32"/>
        </w:rPr>
        <w:t>”</w:t>
      </w:r>
      <w:r>
        <w:rPr>
          <w:rFonts w:hint="eastAsia" w:ascii="仿宋_GB2312"/>
          <w:kern w:val="0"/>
          <w:sz w:val="32"/>
          <w:szCs w:val="32"/>
        </w:rPr>
        <w:t>。</w:t>
      </w:r>
    </w:p>
    <w:p>
      <w:pPr>
        <w:ind w:firstLine="640"/>
        <w:rPr>
          <w:rFonts w:ascii="仿宋_GB2312"/>
          <w:sz w:val="32"/>
          <w:szCs w:val="32"/>
        </w:rPr>
      </w:pPr>
      <w:r>
        <w:rPr>
          <w:rFonts w:ascii="仿宋_GB2312"/>
          <w:kern w:val="0"/>
          <w:sz w:val="32"/>
          <w:szCs w:val="32"/>
        </w:rPr>
        <w:t>2</w:t>
      </w:r>
      <w:r>
        <w:rPr>
          <w:rFonts w:hint="eastAsia" w:ascii="仿宋_GB2312"/>
          <w:kern w:val="0"/>
          <w:sz w:val="32"/>
          <w:szCs w:val="32"/>
        </w:rPr>
        <w:t>、表</w:t>
      </w:r>
      <w:r>
        <w:rPr>
          <w:rFonts w:ascii="仿宋_GB2312"/>
          <w:kern w:val="0"/>
          <w:sz w:val="32"/>
          <w:szCs w:val="32"/>
        </w:rPr>
        <w:t>B.1.5</w:t>
      </w:r>
      <w:r>
        <w:rPr>
          <w:rFonts w:hint="eastAsia" w:ascii="仿宋_GB2312"/>
          <w:sz w:val="32"/>
          <w:szCs w:val="32"/>
        </w:rPr>
        <w:t>踢脚线</w:t>
      </w:r>
      <w:r>
        <w:rPr>
          <w:rFonts w:ascii="仿宋_GB2312"/>
          <w:sz w:val="32"/>
          <w:szCs w:val="32"/>
        </w:rPr>
        <w:t>(</w:t>
      </w:r>
      <w:r>
        <w:rPr>
          <w:rFonts w:hint="eastAsia" w:ascii="仿宋_GB2312"/>
          <w:sz w:val="32"/>
          <w:szCs w:val="32"/>
        </w:rPr>
        <w:t>编码：</w:t>
      </w:r>
      <w:r>
        <w:rPr>
          <w:rFonts w:ascii="仿宋_GB2312"/>
          <w:sz w:val="32"/>
          <w:szCs w:val="32"/>
        </w:rPr>
        <w:t>020105)</w:t>
      </w:r>
      <w:r>
        <w:rPr>
          <w:rFonts w:hint="eastAsia" w:ascii="仿宋_GB2312"/>
          <w:sz w:val="32"/>
          <w:szCs w:val="32"/>
        </w:rPr>
        <w:t>项目，增加计量单位</w:t>
      </w:r>
      <w:r>
        <w:rPr>
          <w:rFonts w:ascii="仿宋_GB2312"/>
          <w:sz w:val="32"/>
          <w:szCs w:val="32"/>
        </w:rPr>
        <w:t>“m”</w:t>
      </w:r>
      <w:r>
        <w:rPr>
          <w:rFonts w:hint="eastAsia" w:ascii="仿宋_GB2312"/>
          <w:sz w:val="32"/>
          <w:szCs w:val="32"/>
        </w:rPr>
        <w:t>，其工程量计算规则为：按设计图示长度以延长米计算，水泥砂浆、水磨石踢脚线其洞口、门口长度不予扣除，但洞口、门口、垛、附墙烟囱等侧壁也不增加；其他踢脚线按设计图示尺寸以延长米计算，扣除门洞长度，侧壁另加。</w:t>
      </w:r>
    </w:p>
    <w:p>
      <w:pPr>
        <w:ind w:firstLine="640"/>
        <w:rPr>
          <w:rFonts w:ascii="仿宋_GB2312"/>
          <w:kern w:val="0"/>
          <w:sz w:val="32"/>
          <w:szCs w:val="32"/>
        </w:rPr>
      </w:pPr>
      <w:r>
        <w:rPr>
          <w:rFonts w:ascii="仿宋_GB2312"/>
          <w:kern w:val="0"/>
          <w:sz w:val="32"/>
          <w:szCs w:val="32"/>
        </w:rPr>
        <w:t>3</w:t>
      </w:r>
      <w:r>
        <w:rPr>
          <w:rFonts w:hint="eastAsia" w:ascii="仿宋_GB2312"/>
          <w:kern w:val="0"/>
          <w:sz w:val="32"/>
          <w:szCs w:val="32"/>
        </w:rPr>
        <w:t>、</w:t>
      </w:r>
      <w:r>
        <w:rPr>
          <w:rFonts w:ascii="仿宋_GB2312"/>
          <w:kern w:val="0"/>
          <w:sz w:val="32"/>
          <w:szCs w:val="32"/>
        </w:rPr>
        <w:t>020407004</w:t>
      </w:r>
      <w:r>
        <w:rPr>
          <w:rFonts w:hint="eastAsia" w:ascii="仿宋_GB2312"/>
          <w:kern w:val="0"/>
          <w:sz w:val="32"/>
          <w:szCs w:val="32"/>
        </w:rPr>
        <w:t>门窗木贴脸项目，</w:t>
      </w:r>
      <w:r>
        <w:rPr>
          <w:rFonts w:hint="eastAsia" w:ascii="仿宋_GB2312"/>
          <w:sz w:val="32"/>
          <w:szCs w:val="32"/>
        </w:rPr>
        <w:t>增加计量单位</w:t>
      </w:r>
      <w:r>
        <w:rPr>
          <w:rFonts w:ascii="仿宋_GB2312"/>
          <w:sz w:val="32"/>
          <w:szCs w:val="32"/>
        </w:rPr>
        <w:t>“m”</w:t>
      </w:r>
      <w:r>
        <w:rPr>
          <w:rFonts w:hint="eastAsia" w:ascii="仿宋_GB2312"/>
          <w:sz w:val="32"/>
          <w:szCs w:val="32"/>
        </w:rPr>
        <w:t>，其工程量计算规则为：按设计图示</w:t>
      </w:r>
      <w:r>
        <w:rPr>
          <w:rFonts w:hint="eastAsia" w:ascii="仿宋_GB2312"/>
          <w:kern w:val="0"/>
          <w:sz w:val="32"/>
          <w:szCs w:val="32"/>
        </w:rPr>
        <w:t>门窗洞口尺寸外围</w:t>
      </w:r>
      <w:r>
        <w:rPr>
          <w:rFonts w:hint="eastAsia" w:ascii="仿宋_GB2312"/>
          <w:sz w:val="32"/>
          <w:szCs w:val="32"/>
        </w:rPr>
        <w:t>长度以延长米计算，双面钉</w:t>
      </w:r>
      <w:r>
        <w:rPr>
          <w:rFonts w:hint="eastAsia" w:ascii="仿宋_GB2312"/>
          <w:kern w:val="0"/>
          <w:sz w:val="32"/>
          <w:szCs w:val="32"/>
        </w:rPr>
        <w:t>贴脸者工程量乘以</w:t>
      </w:r>
      <w:r>
        <w:rPr>
          <w:rFonts w:ascii="仿宋_GB2312"/>
          <w:kern w:val="0"/>
          <w:sz w:val="32"/>
          <w:szCs w:val="32"/>
        </w:rPr>
        <w:t>2</w:t>
      </w:r>
      <w:r>
        <w:rPr>
          <w:rFonts w:hint="eastAsia" w:ascii="仿宋_GB2312"/>
          <w:kern w:val="0"/>
          <w:sz w:val="32"/>
          <w:szCs w:val="32"/>
        </w:rPr>
        <w:t>。</w:t>
      </w:r>
    </w:p>
    <w:p>
      <w:pPr>
        <w:ind w:firstLine="643"/>
        <w:rPr>
          <w:rFonts w:ascii="仿宋_GB2312"/>
          <w:b/>
          <w:bCs/>
          <w:kern w:val="0"/>
          <w:sz w:val="32"/>
          <w:szCs w:val="32"/>
        </w:rPr>
      </w:pPr>
      <w:r>
        <w:rPr>
          <w:rFonts w:hint="eastAsia" w:ascii="仿宋_GB2312"/>
          <w:b/>
          <w:bCs/>
          <w:kern w:val="0"/>
          <w:sz w:val="32"/>
          <w:szCs w:val="32"/>
        </w:rPr>
        <w:t>九、房屋修缮工程的计价方式</w:t>
      </w:r>
    </w:p>
    <w:p>
      <w:pPr>
        <w:ind w:firstLine="640"/>
        <w:rPr>
          <w:rFonts w:ascii="仿宋_GB2312"/>
          <w:kern w:val="0"/>
          <w:sz w:val="32"/>
          <w:szCs w:val="32"/>
        </w:rPr>
      </w:pPr>
      <w:r>
        <w:rPr>
          <w:rFonts w:hint="eastAsia" w:ascii="仿宋_GB2312"/>
          <w:kern w:val="0"/>
          <w:sz w:val="32"/>
          <w:szCs w:val="32"/>
        </w:rPr>
        <w:t>“</w:t>
      </w:r>
      <w:r>
        <w:rPr>
          <w:rFonts w:ascii="仿宋_GB2312"/>
          <w:kern w:val="0"/>
          <w:sz w:val="32"/>
          <w:szCs w:val="32"/>
        </w:rPr>
        <w:t>08</w:t>
      </w:r>
      <w:r>
        <w:rPr>
          <w:rFonts w:hint="eastAsia" w:ascii="仿宋_GB2312"/>
          <w:kern w:val="0"/>
          <w:sz w:val="32"/>
          <w:szCs w:val="32"/>
        </w:rPr>
        <w:t>规范”附录中未包含房屋修缮工程部分，房屋修缮工程暂不执行工程量清单计价方式。在《江苏省房屋修缮工程计价表》（</w:t>
      </w:r>
      <w:r>
        <w:rPr>
          <w:rFonts w:ascii="仿宋_GB2312"/>
          <w:kern w:val="0"/>
          <w:sz w:val="32"/>
          <w:szCs w:val="32"/>
        </w:rPr>
        <w:t>2010</w:t>
      </w:r>
      <w:r>
        <w:rPr>
          <w:rFonts w:hint="eastAsia" w:ascii="仿宋_GB2312"/>
          <w:kern w:val="0"/>
          <w:sz w:val="32"/>
          <w:szCs w:val="32"/>
        </w:rPr>
        <w:t>年）发布前完成招投标的房屋修缮工程，仍执行《江苏省房屋修缮工程预算定额》（</w:t>
      </w:r>
      <w:r>
        <w:rPr>
          <w:rFonts w:ascii="仿宋_GB2312"/>
          <w:kern w:val="0"/>
          <w:sz w:val="32"/>
          <w:szCs w:val="32"/>
        </w:rPr>
        <w:t>1999</w:t>
      </w:r>
      <w:r>
        <w:rPr>
          <w:rFonts w:hint="eastAsia" w:ascii="仿宋_GB2312"/>
          <w:kern w:val="0"/>
          <w:sz w:val="32"/>
          <w:szCs w:val="32"/>
        </w:rPr>
        <w:t>年），取费按相应的费用定额执行。</w:t>
      </w:r>
    </w:p>
    <w:p>
      <w:pPr>
        <w:ind w:firstLine="630" w:firstLineChars="196"/>
        <w:rPr>
          <w:rFonts w:ascii="仿宋_GB2312"/>
          <w:b/>
          <w:bCs/>
          <w:sz w:val="32"/>
          <w:szCs w:val="32"/>
        </w:rPr>
      </w:pPr>
      <w:r>
        <w:rPr>
          <w:rFonts w:hint="eastAsia" w:ascii="仿宋_GB2312"/>
          <w:b/>
          <w:bCs/>
          <w:kern w:val="0"/>
          <w:sz w:val="32"/>
          <w:szCs w:val="32"/>
        </w:rPr>
        <w:t>十、有关工程计价文件与</w:t>
      </w:r>
      <w:r>
        <w:rPr>
          <w:rFonts w:hint="eastAsia" w:ascii="仿宋_GB2312"/>
          <w:b/>
          <w:bCs/>
          <w:sz w:val="32"/>
          <w:szCs w:val="32"/>
        </w:rPr>
        <w:t xml:space="preserve"> “08规范贯彻意见”之间的关系</w:t>
      </w:r>
    </w:p>
    <w:p>
      <w:pPr>
        <w:ind w:firstLine="640"/>
        <w:rPr>
          <w:rFonts w:ascii="仿宋_GB2312"/>
          <w:kern w:val="0"/>
          <w:sz w:val="32"/>
          <w:szCs w:val="32"/>
        </w:rPr>
      </w:pPr>
      <w:r>
        <w:rPr>
          <w:rFonts w:hint="eastAsia" w:ascii="仿宋_GB2312"/>
          <w:kern w:val="0"/>
          <w:sz w:val="32"/>
          <w:szCs w:val="32"/>
        </w:rPr>
        <w:t>我省在《关于</w:t>
      </w:r>
      <w:r>
        <w:rPr>
          <w:rFonts w:ascii="仿宋_GB2312"/>
          <w:kern w:val="0"/>
          <w:sz w:val="32"/>
          <w:szCs w:val="32"/>
        </w:rPr>
        <w:t>&lt;</w:t>
      </w:r>
      <w:r>
        <w:rPr>
          <w:rFonts w:hint="eastAsia" w:ascii="仿宋_GB2312"/>
          <w:kern w:val="0"/>
          <w:sz w:val="32"/>
          <w:szCs w:val="32"/>
        </w:rPr>
        <w:t>建设工程工程量清单计价规范</w:t>
      </w:r>
      <w:r>
        <w:rPr>
          <w:rFonts w:ascii="仿宋_GB2312"/>
          <w:kern w:val="0"/>
          <w:sz w:val="32"/>
          <w:szCs w:val="32"/>
        </w:rPr>
        <w:t>&gt;</w:t>
      </w:r>
      <w:r>
        <w:rPr>
          <w:rFonts w:hint="eastAsia" w:ascii="仿宋_GB2312"/>
          <w:kern w:val="0"/>
          <w:sz w:val="32"/>
          <w:szCs w:val="32"/>
        </w:rPr>
        <w:t>（</w:t>
      </w:r>
      <w:r>
        <w:rPr>
          <w:rFonts w:ascii="仿宋_GB2312"/>
          <w:kern w:val="0"/>
          <w:sz w:val="32"/>
          <w:szCs w:val="32"/>
        </w:rPr>
        <w:t>GB50500 -2008</w:t>
      </w:r>
      <w:r>
        <w:rPr>
          <w:rFonts w:hint="eastAsia" w:ascii="仿宋_GB2312"/>
          <w:kern w:val="0"/>
          <w:sz w:val="32"/>
          <w:szCs w:val="32"/>
        </w:rPr>
        <w:t>）的贯彻意见》（苏建价〔</w:t>
      </w:r>
      <w:r>
        <w:rPr>
          <w:rFonts w:ascii="仿宋_GB2312"/>
          <w:kern w:val="0"/>
          <w:sz w:val="32"/>
          <w:szCs w:val="32"/>
        </w:rPr>
        <w:t>2009</w:t>
      </w:r>
      <w:r>
        <w:rPr>
          <w:rFonts w:hint="eastAsia" w:ascii="仿宋_GB2312"/>
          <w:kern w:val="0"/>
          <w:sz w:val="32"/>
          <w:szCs w:val="32"/>
        </w:rPr>
        <w:t>〕</w:t>
      </w:r>
      <w:r>
        <w:rPr>
          <w:rFonts w:ascii="仿宋_GB2312"/>
          <w:kern w:val="0"/>
          <w:sz w:val="32"/>
          <w:szCs w:val="32"/>
        </w:rPr>
        <w:t>40</w:t>
      </w:r>
      <w:r>
        <w:rPr>
          <w:rFonts w:hint="eastAsia" w:ascii="仿宋_GB2312"/>
          <w:kern w:val="0"/>
          <w:sz w:val="32"/>
          <w:szCs w:val="32"/>
        </w:rPr>
        <w:t>号）（简称</w:t>
      </w:r>
      <w:r>
        <w:rPr>
          <w:rFonts w:ascii="仿宋_GB2312"/>
          <w:kern w:val="0"/>
          <w:sz w:val="32"/>
          <w:szCs w:val="32"/>
        </w:rPr>
        <w:t>“08</w:t>
      </w:r>
      <w:r>
        <w:rPr>
          <w:rFonts w:hint="eastAsia" w:ascii="仿宋_GB2312"/>
          <w:kern w:val="0"/>
          <w:sz w:val="32"/>
          <w:szCs w:val="32"/>
        </w:rPr>
        <w:t>规范贯彻意见</w:t>
      </w:r>
      <w:r>
        <w:rPr>
          <w:rFonts w:ascii="仿宋_GB2312"/>
          <w:kern w:val="0"/>
          <w:sz w:val="32"/>
          <w:szCs w:val="32"/>
        </w:rPr>
        <w:t>”</w:t>
      </w:r>
      <w:r>
        <w:rPr>
          <w:rFonts w:hint="eastAsia" w:ascii="仿宋_GB2312"/>
          <w:kern w:val="0"/>
          <w:sz w:val="32"/>
          <w:szCs w:val="32"/>
        </w:rPr>
        <w:t>）之前发布的工程计价文件，如与</w:t>
      </w:r>
      <w:r>
        <w:rPr>
          <w:rFonts w:ascii="仿宋_GB2312"/>
          <w:kern w:val="0"/>
          <w:sz w:val="32"/>
          <w:szCs w:val="32"/>
        </w:rPr>
        <w:t>“08</w:t>
      </w:r>
      <w:r>
        <w:rPr>
          <w:rFonts w:hint="eastAsia" w:ascii="仿宋_GB2312"/>
          <w:kern w:val="0"/>
          <w:sz w:val="32"/>
          <w:szCs w:val="32"/>
        </w:rPr>
        <w:t>规范贯彻意见</w:t>
      </w:r>
      <w:r>
        <w:rPr>
          <w:rFonts w:ascii="仿宋_GB2312"/>
          <w:kern w:val="0"/>
          <w:sz w:val="32"/>
          <w:szCs w:val="32"/>
        </w:rPr>
        <w:t>”</w:t>
      </w:r>
      <w:r>
        <w:rPr>
          <w:rFonts w:hint="eastAsia" w:ascii="仿宋_GB2312"/>
          <w:kern w:val="0"/>
          <w:sz w:val="32"/>
          <w:szCs w:val="32"/>
        </w:rPr>
        <w:t>中有关规定不一致的，以</w:t>
      </w:r>
      <w:r>
        <w:rPr>
          <w:rFonts w:ascii="仿宋_GB2312"/>
          <w:kern w:val="0"/>
          <w:sz w:val="32"/>
          <w:szCs w:val="32"/>
        </w:rPr>
        <w:t>“08</w:t>
      </w:r>
      <w:r>
        <w:rPr>
          <w:rFonts w:hint="eastAsia" w:ascii="仿宋_GB2312"/>
          <w:kern w:val="0"/>
          <w:sz w:val="32"/>
          <w:szCs w:val="32"/>
        </w:rPr>
        <w:t>规范贯彻意见</w:t>
      </w:r>
      <w:r>
        <w:rPr>
          <w:rFonts w:ascii="仿宋_GB2312"/>
          <w:kern w:val="0"/>
          <w:sz w:val="32"/>
          <w:szCs w:val="32"/>
        </w:rPr>
        <w:t>”</w:t>
      </w:r>
      <w:r>
        <w:rPr>
          <w:rFonts w:hint="eastAsia" w:ascii="仿宋_GB2312"/>
          <w:kern w:val="0"/>
          <w:sz w:val="32"/>
          <w:szCs w:val="32"/>
        </w:rPr>
        <w:t>为准。</w:t>
      </w:r>
    </w:p>
    <w:p>
      <w:pPr>
        <w:ind w:firstLine="643"/>
        <w:rPr>
          <w:rFonts w:ascii="仿宋_GB2312"/>
          <w:b/>
          <w:bCs/>
          <w:kern w:val="0"/>
          <w:sz w:val="32"/>
          <w:szCs w:val="32"/>
        </w:rPr>
      </w:pPr>
      <w:r>
        <w:rPr>
          <w:rFonts w:hint="eastAsia" w:ascii="仿宋_GB2312"/>
          <w:b/>
          <w:bCs/>
          <w:kern w:val="0"/>
          <w:sz w:val="32"/>
          <w:szCs w:val="32"/>
        </w:rPr>
        <w:t>十一、其他</w:t>
      </w:r>
    </w:p>
    <w:p>
      <w:pPr>
        <w:ind w:firstLine="640"/>
        <w:rPr>
          <w:rFonts w:ascii="仿宋_GB2312"/>
          <w:kern w:val="0"/>
          <w:sz w:val="32"/>
          <w:szCs w:val="32"/>
        </w:rPr>
      </w:pPr>
      <w:r>
        <w:rPr>
          <w:rFonts w:hint="eastAsia" w:ascii="仿宋_GB2312"/>
          <w:kern w:val="0"/>
          <w:sz w:val="32"/>
          <w:szCs w:val="32"/>
        </w:rPr>
        <w:t>对于在工程量清单计价中发现的问题，请及时向工程所在地造价管理机构咨询和反映。</w:t>
      </w:r>
      <w:r>
        <w:rPr>
          <w:rFonts w:ascii="仿宋_GB2312"/>
          <w:kern w:val="0"/>
          <w:sz w:val="32"/>
          <w:szCs w:val="32"/>
        </w:rPr>
        <w:t xml:space="preserve">                                </w:t>
      </w:r>
    </w:p>
    <w:p>
      <w:pPr>
        <w:ind w:firstLine="5440" w:firstLineChars="1700"/>
        <w:rPr>
          <w:rFonts w:ascii="仿宋_GB2312"/>
          <w:kern w:val="0"/>
          <w:sz w:val="32"/>
          <w:szCs w:val="32"/>
        </w:rPr>
      </w:pPr>
      <w:r>
        <w:rPr>
          <w:rFonts w:hint="eastAsia" w:ascii="仿宋_GB2312"/>
          <w:kern w:val="0"/>
          <w:sz w:val="32"/>
          <w:szCs w:val="32"/>
        </w:rPr>
        <w:t>二○一○年三月一日</w:t>
      </w:r>
    </w:p>
    <w:p>
      <w:pPr>
        <w:spacing w:line="600" w:lineRule="exact"/>
        <w:ind w:left="960" w:hanging="960" w:hangingChars="300"/>
        <w:rPr>
          <w:rFonts w:ascii="仿宋_GB2312"/>
          <w:sz w:val="32"/>
          <w:szCs w:val="32"/>
        </w:rPr>
      </w:pPr>
      <w:r>
        <w:rPr>
          <w:rFonts w:hint="eastAsia" w:ascii="仿宋_GB2312"/>
          <w:kern w:val="0"/>
          <w:sz w:val="32"/>
          <w:szCs w:val="32"/>
        </w:rPr>
        <w:t>抄送：住房和城乡建设部标准定额司，住房和城乡建设部标准定额研究所，中价协，各市工程造价管理处（站）、招标办（处）。</w:t>
      </w:r>
    </w:p>
    <w:p>
      <w:pPr>
        <w:pStyle w:val="5"/>
        <w:rPr>
          <w:rStyle w:val="29"/>
          <w:bCs/>
        </w:rPr>
      </w:pPr>
      <w:r>
        <w:br w:type="page"/>
      </w:r>
      <w:bookmarkStart w:id="1871" w:name="_Toc22173"/>
      <w:bookmarkStart w:id="1872" w:name="_Toc504"/>
      <w:bookmarkStart w:id="1873" w:name="_Toc495"/>
      <w:bookmarkStart w:id="1874" w:name="_Toc7203"/>
      <w:bookmarkStart w:id="1875" w:name="_Toc2552"/>
      <w:bookmarkStart w:id="1876" w:name="_Toc12489"/>
      <w:bookmarkStart w:id="1877" w:name="_Toc9800"/>
      <w:bookmarkStart w:id="1878" w:name="_Toc18605"/>
      <w:r>
        <w:rPr>
          <w:rStyle w:val="29"/>
          <w:rFonts w:hint="eastAsia"/>
          <w:bCs/>
        </w:rPr>
        <w:t>苏州市工程造价管理处</w:t>
      </w:r>
      <w:bookmarkEnd w:id="1871"/>
      <w:bookmarkEnd w:id="1872"/>
      <w:bookmarkEnd w:id="1873"/>
      <w:bookmarkEnd w:id="1874"/>
      <w:bookmarkEnd w:id="1875"/>
      <w:bookmarkEnd w:id="1876"/>
      <w:bookmarkEnd w:id="1877"/>
      <w:bookmarkEnd w:id="1878"/>
    </w:p>
    <w:p>
      <w:pPr>
        <w:pStyle w:val="11"/>
        <w:ind w:firstLine="560"/>
        <w:jc w:val="center"/>
        <w:rPr>
          <w:rFonts w:ascii="仿宋_GB2312" w:hAnsi="宋体" w:eastAsia="仿宋_GB2312"/>
          <w:sz w:val="28"/>
          <w:szCs w:val="28"/>
        </w:rPr>
      </w:pPr>
      <w:r>
        <w:rPr>
          <w:rFonts w:hint="eastAsia" w:ascii="仿宋_GB2312" w:hAnsi="宋体" w:eastAsia="仿宋_GB2312"/>
          <w:sz w:val="28"/>
          <w:szCs w:val="28"/>
        </w:rPr>
        <w:t xml:space="preserve"> </w:t>
      </w:r>
    </w:p>
    <w:p>
      <w:pPr>
        <w:pStyle w:val="4"/>
      </w:pPr>
      <w:bookmarkStart w:id="1879" w:name="_Toc2582"/>
      <w:bookmarkStart w:id="1880" w:name="_Toc22861"/>
      <w:bookmarkStart w:id="1881" w:name="_Toc18945"/>
      <w:bookmarkStart w:id="1882" w:name="_Toc18321"/>
      <w:bookmarkStart w:id="1883" w:name="_Toc2517"/>
      <w:bookmarkStart w:id="1884" w:name="_Toc11425"/>
      <w:bookmarkStart w:id="1885" w:name="_Toc23226"/>
      <w:bookmarkStart w:id="1886" w:name="_Toc2538"/>
      <w:bookmarkStart w:id="1887" w:name="_Toc1336"/>
      <w:bookmarkStart w:id="1888" w:name="_Toc20277"/>
      <w:bookmarkStart w:id="1889" w:name="_Toc20960"/>
      <w:r>
        <w:rPr>
          <w:rFonts w:hint="eastAsia"/>
        </w:rPr>
        <w:t>苏工价〔2011〕5号</w:t>
      </w:r>
      <w:bookmarkEnd w:id="1879"/>
      <w:bookmarkEnd w:id="1880"/>
      <w:bookmarkEnd w:id="1881"/>
      <w:bookmarkEnd w:id="1882"/>
      <w:bookmarkEnd w:id="1883"/>
      <w:bookmarkEnd w:id="1884"/>
      <w:bookmarkEnd w:id="1885"/>
      <w:bookmarkEnd w:id="1886"/>
      <w:bookmarkEnd w:id="1887"/>
      <w:bookmarkEnd w:id="1888"/>
      <w:bookmarkEnd w:id="1889"/>
    </w:p>
    <w:p>
      <w:pPr>
        <w:ind w:firstLine="560"/>
      </w:pPr>
    </w:p>
    <w:p>
      <w:pPr>
        <w:ind w:firstLine="560"/>
        <w:jc w:val="center"/>
        <w:rPr>
          <w:rFonts w:ascii="黑体" w:eastAsia="黑体"/>
          <w:color w:val="FF0000"/>
          <w:sz w:val="32"/>
        </w:rPr>
      </w:pPr>
      <w:r>
        <w:rPr>
          <w:rFonts w:hint="eastAsia" w:ascii="黑体" w:eastAsia="黑体"/>
          <w:szCs w:val="28"/>
        </w:rPr>
        <w:t xml:space="preserve"> </w:t>
      </w:r>
      <w:r>
        <w:rPr>
          <w:rFonts w:ascii="黑体" w:eastAsia="黑体"/>
          <w:color w:val="FF0000"/>
          <w:sz w:val="32"/>
        </w:rPr>
        <mc:AlternateContent>
          <mc:Choice Requires="wps">
            <w:drawing>
              <wp:anchor distT="0" distB="0" distL="114300" distR="114300" simplePos="0" relativeHeight="251695104" behindDoc="0" locked="0" layoutInCell="1" allowOverlap="1">
                <wp:simplePos x="0" y="0"/>
                <wp:positionH relativeFrom="column">
                  <wp:posOffset>3086100</wp:posOffset>
                </wp:positionH>
                <wp:positionV relativeFrom="paragraph">
                  <wp:posOffset>198120</wp:posOffset>
                </wp:positionV>
                <wp:extent cx="2628900" cy="0"/>
                <wp:effectExtent l="0" t="0" r="0" b="0"/>
                <wp:wrapNone/>
                <wp:docPr id="89" name="直接连接符 89"/>
                <wp:cNvGraphicFramePr/>
                <a:graphic xmlns:a="http://schemas.openxmlformats.org/drawingml/2006/main">
                  <a:graphicData uri="http://schemas.microsoft.com/office/word/2010/wordprocessingShape">
                    <wps:wsp>
                      <wps:cNvCnPr/>
                      <wps:spPr>
                        <a:xfrm>
                          <a:off x="0" y="0"/>
                          <a:ext cx="2628900" cy="0"/>
                        </a:xfrm>
                        <a:prstGeom prst="line">
                          <a:avLst/>
                        </a:prstGeom>
                        <a:ln w="1270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243pt;margin-top:15.6pt;height:0pt;width:207pt;z-index:251695104;mso-width-relative:page;mso-height-relative:page;" filled="f" stroked="t" coordsize="21600,21600" o:gfxdata="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qAezHNYAAAAJAQAADwAAAAAAAAABACAAAAAiAAAAZHJzL2Rvd25yZXYueG1sUEsBAhQAFAAAAAgA&#10;h07iQJnlxrzuAQAA2wMAAA4AAAAAAAAAAQAgAAAAJQEAAGRycy9lMm9Eb2MueG1sUEsFBgAAAAAG&#10;AAYAWQEAAIUFAAAAAA==&#10;">
                <v:fill on="f" focussize="0,0"/>
                <v:stroke weight="1pt" color="#FF0000" joinstyle="round"/>
                <v:imagedata o:title=""/>
                <o:lock v:ext="edit" aspectratio="f"/>
              </v:line>
            </w:pict>
          </mc:Fallback>
        </mc:AlternateContent>
      </w:r>
      <w:r>
        <w:rPr>
          <w:rFonts w:ascii="黑体" w:eastAsia="黑体"/>
          <w:color w:val="FF0000"/>
          <w:sz w:val="32"/>
        </w:rPr>
        <mc:AlternateContent>
          <mc:Choice Requires="wps">
            <w:drawing>
              <wp:anchor distT="0" distB="0" distL="114300" distR="114300" simplePos="0" relativeHeight="251694080" behindDoc="0" locked="0" layoutInCell="1" allowOverlap="1">
                <wp:simplePos x="0" y="0"/>
                <wp:positionH relativeFrom="column">
                  <wp:posOffset>114300</wp:posOffset>
                </wp:positionH>
                <wp:positionV relativeFrom="paragraph">
                  <wp:posOffset>198120</wp:posOffset>
                </wp:positionV>
                <wp:extent cx="2628900" cy="0"/>
                <wp:effectExtent l="0" t="0" r="0" b="0"/>
                <wp:wrapNone/>
                <wp:docPr id="90" name="直接连接符 90"/>
                <wp:cNvGraphicFramePr/>
                <a:graphic xmlns:a="http://schemas.openxmlformats.org/drawingml/2006/main">
                  <a:graphicData uri="http://schemas.microsoft.com/office/word/2010/wordprocessingShape">
                    <wps:wsp>
                      <wps:cNvCnPr/>
                      <wps:spPr>
                        <a:xfrm>
                          <a:off x="0" y="0"/>
                          <a:ext cx="2628900" cy="0"/>
                        </a:xfrm>
                        <a:prstGeom prst="line">
                          <a:avLst/>
                        </a:prstGeom>
                        <a:ln w="1270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9pt;margin-top:15.6pt;height:0pt;width:207pt;z-index:251694080;mso-width-relative:page;mso-height-relative:page;" filled="f" stroked="t" coordsize="21600,21600" o:gfxdata="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Tn8/tYAAAAIAQAADwAAAAAAAAABACAAAAAiAAAAZHJzL2Rvd25yZXYueG1sUEsBAhQAFAAAAAgA&#10;h07iQGweyznuAQAA2wMAAA4AAAAAAAAAAQAgAAAAJQEAAGRycy9lMm9Eb2MueG1sUEsFBgAAAAAG&#10;AAYAWQEAAIUFAAAAAA==&#10;">
                <v:fill on="f" focussize="0,0"/>
                <v:stroke weight="1pt" color="#FF0000" joinstyle="round"/>
                <v:imagedata o:title=""/>
                <o:lock v:ext="edit" aspectratio="f"/>
              </v:line>
            </w:pict>
          </mc:Fallback>
        </mc:AlternateContent>
      </w:r>
      <w:r>
        <w:rPr>
          <w:rFonts w:hint="eastAsia" w:ascii="黑体" w:eastAsia="黑体"/>
          <w:color w:val="FF0000"/>
          <w:sz w:val="32"/>
        </w:rPr>
        <w:t>★</w:t>
      </w:r>
    </w:p>
    <w:p>
      <w:pPr>
        <w:pStyle w:val="3"/>
      </w:pPr>
    </w:p>
    <w:p>
      <w:pPr>
        <w:pStyle w:val="3"/>
      </w:pPr>
      <w:bookmarkStart w:id="1890" w:name="_Toc18502"/>
      <w:bookmarkStart w:id="1891" w:name="_Toc28196"/>
      <w:bookmarkStart w:id="1892" w:name="_Toc16315"/>
      <w:bookmarkStart w:id="1893" w:name="_Toc16907"/>
      <w:bookmarkStart w:id="1894" w:name="_Toc8663"/>
      <w:bookmarkStart w:id="1895" w:name="_Toc27842"/>
      <w:bookmarkStart w:id="1896" w:name="_Toc5051"/>
      <w:bookmarkStart w:id="1897" w:name="_Toc13472"/>
      <w:bookmarkStart w:id="1898" w:name="_Toc22158"/>
      <w:bookmarkStart w:id="1899" w:name="_Toc15603"/>
      <w:bookmarkStart w:id="1900" w:name="_Toc21208"/>
      <w:bookmarkStart w:id="1901" w:name="_Toc20702"/>
      <w:bookmarkStart w:id="1902" w:name="_Toc24775"/>
      <w:bookmarkStart w:id="1903" w:name="_Toc26451"/>
      <w:r>
        <w:rPr>
          <w:rFonts w:hint="eastAsia"/>
        </w:rPr>
        <w:t>关于明确苏州市建设工程税金费率的通知</w: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p>
    <w:p>
      <w:pPr>
        <w:ind w:firstLine="560"/>
        <w:rPr>
          <w:rFonts w:ascii="仿宋_GB2312"/>
          <w:szCs w:val="28"/>
        </w:rPr>
      </w:pPr>
    </w:p>
    <w:p>
      <w:pPr>
        <w:ind w:firstLine="560"/>
        <w:rPr>
          <w:rFonts w:ascii="仿宋_GB2312"/>
          <w:szCs w:val="28"/>
        </w:rPr>
      </w:pPr>
    </w:p>
    <w:p>
      <w:pPr>
        <w:ind w:firstLine="0" w:firstLineChars="0"/>
      </w:pPr>
      <w:r>
        <w:rPr>
          <w:rFonts w:hint="eastAsia"/>
        </w:rPr>
        <w:t>各建设、设计、施工单位，各造价咨询、招标代理及相关中介咨询机构，各有关单位：</w:t>
      </w:r>
    </w:p>
    <w:p>
      <w:pPr>
        <w:ind w:firstLine="560"/>
      </w:pPr>
      <w:r>
        <w:rPr>
          <w:rFonts w:hint="eastAsia"/>
        </w:rPr>
        <w:t>根据《江苏省政府关于调整地方教育附加等政府性基金有关政策的通知》（苏政发[2011]3号）规定，自2011年2月1日起，江苏省地方教育附加征收标准由实际缴纳“增值税、消费税、营业税”税额的1%提高到2%，现将列入工程造价的各项税金费率明确如下：</w:t>
      </w:r>
    </w:p>
    <w:p>
      <w:pPr>
        <w:ind w:firstLine="560"/>
      </w:pPr>
      <w:r>
        <w:rPr>
          <w:rFonts w:hint="eastAsia"/>
        </w:rPr>
        <w:t>一、建设工程费用组成中税金包括营业税、城市建设维护税、教育费附加（包括地方教育附加），其中：</w:t>
      </w:r>
    </w:p>
    <w:p>
      <w:pPr>
        <w:ind w:firstLine="560"/>
      </w:pPr>
      <w:r>
        <w:rPr>
          <w:rFonts w:hint="eastAsia"/>
        </w:rPr>
        <w:t>1、营业税税额=应纳税营业额×适用税率，税率：3%；</w:t>
      </w:r>
    </w:p>
    <w:p>
      <w:pPr>
        <w:ind w:firstLine="560"/>
      </w:pPr>
      <w:r>
        <w:rPr>
          <w:rFonts w:hint="eastAsia"/>
        </w:rPr>
        <w:t>2、城市建设维护税=营业税税额×适用税率，税率：市区7%、县镇5%、乡村1% ；</w:t>
      </w:r>
    </w:p>
    <w:p>
      <w:pPr>
        <w:ind w:firstLine="560"/>
      </w:pPr>
      <w:r>
        <w:rPr>
          <w:rFonts w:hint="eastAsia"/>
        </w:rPr>
        <w:t>3、教育费附加=营业税税额×适用税率，税率：3%；</w:t>
      </w:r>
    </w:p>
    <w:p>
      <w:pPr>
        <w:ind w:firstLine="560"/>
      </w:pPr>
      <w:r>
        <w:rPr>
          <w:rFonts w:hint="eastAsia"/>
        </w:rPr>
        <w:t>4、地方教育费附加=营业税税额×适用税率，税率：2011年2月1日前为1%，2011年2月1日以后为2%。</w:t>
      </w:r>
    </w:p>
    <w:p>
      <w:pPr>
        <w:ind w:firstLine="560"/>
      </w:pPr>
      <w:r>
        <w:rPr>
          <w:rFonts w:hint="eastAsia"/>
        </w:rPr>
        <w:t>二、以上税率折算成以不含税工程造价为计费基础的税金费率为：</w:t>
      </w:r>
    </w:p>
    <w:p>
      <w:pPr>
        <w:ind w:firstLine="560"/>
      </w:pPr>
      <w:r>
        <w:rPr>
          <w:rFonts w:hint="eastAsia"/>
        </w:rPr>
        <w:t>1、2011年2月1日以前：</w:t>
      </w:r>
    </w:p>
    <w:p>
      <w:pPr>
        <w:ind w:firstLine="560"/>
      </w:pPr>
      <w:r>
        <w:rPr>
          <w:rFonts w:hint="eastAsia"/>
        </w:rPr>
        <w:t>市区3.445%；县镇3.381%；乡村3.252%。</w:t>
      </w:r>
    </w:p>
    <w:p>
      <w:pPr>
        <w:ind w:firstLine="560"/>
      </w:pPr>
      <w:r>
        <w:rPr>
          <w:rFonts w:hint="eastAsia"/>
        </w:rPr>
        <w:t>2、2011年2月1日以后：</w:t>
      </w:r>
    </w:p>
    <w:p>
      <w:pPr>
        <w:ind w:firstLine="560"/>
        <w:jc w:val="left"/>
      </w:pPr>
      <w:r>
        <w:rPr>
          <w:rFonts w:hint="eastAsia"/>
        </w:rPr>
        <w:t>市区：3%×（1+7%+3%+2%）/[1-3%×（1+7%+3%+2%）] =3.477%；</w:t>
      </w:r>
    </w:p>
    <w:p>
      <w:pPr>
        <w:ind w:firstLine="560"/>
        <w:jc w:val="left"/>
      </w:pPr>
      <w:r>
        <w:rPr>
          <w:rFonts w:hint="eastAsia"/>
        </w:rPr>
        <w:t>县镇：3%×（1+5%+3%+2%）/[1-3%×（1+5%+3%+2%）] =3.413%；</w:t>
      </w:r>
    </w:p>
    <w:p>
      <w:pPr>
        <w:ind w:firstLine="560"/>
        <w:jc w:val="left"/>
      </w:pPr>
      <w:r>
        <w:rPr>
          <w:rFonts w:hint="eastAsia"/>
        </w:rPr>
        <w:t>乡村：3%×（1+1%+3%+2%）/[1-3%×（1+1%+3%+2%）] =3.284%。</w:t>
      </w:r>
    </w:p>
    <w:p>
      <w:pPr>
        <w:ind w:firstLine="560"/>
      </w:pPr>
      <w:r>
        <w:rPr>
          <w:rFonts w:hint="eastAsia"/>
        </w:rPr>
        <w:t>三、部分区域的营业税、城市建设维护税、教育费附加（包括地方教育附加）有特殊规定的，可按上述公式及当地政府有关规定另行计取。</w:t>
      </w:r>
    </w:p>
    <w:p>
      <w:pPr>
        <w:ind w:firstLine="560"/>
      </w:pPr>
      <w:r>
        <w:rPr>
          <w:rFonts w:hint="eastAsia"/>
        </w:rPr>
        <w:t>四、税金费率调整属于国家政策性调整，不应包含在建设工程施工合同风险范围以内。对于2011年2月1日以前尚未完成建筑业发票开票的建设工程，调整前后工作量的划分，按当地税务部门具体收取规定执行。</w:t>
      </w:r>
    </w:p>
    <w:p>
      <w:pPr>
        <w:ind w:firstLine="560"/>
      </w:pPr>
      <w:r>
        <w:rPr>
          <w:rFonts w:hint="eastAsia"/>
        </w:rPr>
        <w:t xml:space="preserve"> </w:t>
      </w:r>
    </w:p>
    <w:p>
      <w:pPr>
        <w:ind w:firstLine="560"/>
      </w:pPr>
      <w:r>
        <w:rPr>
          <w:rFonts w:hint="eastAsia"/>
        </w:rPr>
        <w:t xml:space="preserve"> </w:t>
      </w:r>
    </w:p>
    <w:p>
      <w:pPr>
        <w:ind w:firstLine="5040" w:firstLineChars="1800"/>
      </w:pPr>
      <w:r>
        <w:rPr>
          <w:rFonts w:hint="eastAsia"/>
        </w:rPr>
        <w:t>2011年3月9日</w:t>
      </w:r>
    </w:p>
    <w:p>
      <w:pPr>
        <w:pStyle w:val="11"/>
        <w:ind w:firstLine="560"/>
        <w:rPr>
          <w:rFonts w:ascii="仿宋_GB2312" w:eastAsia="仿宋_GB2312"/>
          <w:sz w:val="28"/>
          <w:szCs w:val="28"/>
        </w:rPr>
      </w:pPr>
      <w:r>
        <w:rPr>
          <w:rFonts w:hint="eastAsia" w:ascii="仿宋_GB2312" w:eastAsia="仿宋_GB2312"/>
          <w:sz w:val="28"/>
          <w:szCs w:val="28"/>
        </w:rPr>
        <w:t xml:space="preserve"> </w:t>
      </w:r>
    </w:p>
    <w:p>
      <w:pPr>
        <w:pStyle w:val="11"/>
        <w:ind w:firstLine="560"/>
        <w:rPr>
          <w:rFonts w:ascii="仿宋_GB2312" w:eastAsia="仿宋_GB2312"/>
          <w:sz w:val="28"/>
          <w:szCs w:val="28"/>
        </w:rPr>
      </w:pPr>
      <w:r>
        <w:rPr>
          <w:rFonts w:hint="eastAsia" w:ascii="仿宋_GB2312" w:eastAsia="仿宋_GB2312"/>
          <w:sz w:val="28"/>
          <w:szCs w:val="28"/>
        </w:rPr>
        <w:t xml:space="preserve"> </w:t>
      </w:r>
    </w:p>
    <w:p>
      <w:pPr>
        <w:pStyle w:val="11"/>
        <w:ind w:firstLine="560"/>
        <w:rPr>
          <w:rFonts w:ascii="仿宋_GB2312" w:eastAsia="仿宋_GB2312"/>
          <w:sz w:val="28"/>
          <w:szCs w:val="28"/>
        </w:rPr>
      </w:pPr>
    </w:p>
    <w:p>
      <w:pPr>
        <w:pStyle w:val="11"/>
        <w:ind w:firstLine="560"/>
        <w:rPr>
          <w:rFonts w:ascii="仿宋_GB2312" w:eastAsia="仿宋_GB2312"/>
          <w:sz w:val="28"/>
          <w:szCs w:val="28"/>
        </w:rPr>
      </w:pPr>
    </w:p>
    <w:p>
      <w:pPr>
        <w:pStyle w:val="11"/>
        <w:ind w:firstLine="560"/>
        <w:rPr>
          <w:rFonts w:ascii="仿宋_GB2312" w:eastAsia="仿宋_GB2312"/>
          <w:sz w:val="28"/>
          <w:szCs w:val="28"/>
        </w:rPr>
      </w:pPr>
    </w:p>
    <w:p>
      <w:pPr>
        <w:pStyle w:val="11"/>
        <w:ind w:firstLine="560"/>
        <w:rPr>
          <w:rFonts w:ascii="仿宋_GB2312" w:eastAsia="仿宋_GB2312"/>
          <w:sz w:val="28"/>
          <w:szCs w:val="28"/>
        </w:rPr>
      </w:pPr>
    </w:p>
    <w:p>
      <w:pPr>
        <w:pStyle w:val="11"/>
        <w:ind w:firstLine="560"/>
        <w:rPr>
          <w:rFonts w:ascii="仿宋_GB2312" w:eastAsia="仿宋_GB2312"/>
          <w:sz w:val="28"/>
          <w:szCs w:val="28"/>
        </w:rPr>
      </w:pPr>
    </w:p>
    <w:p>
      <w:pPr>
        <w:pStyle w:val="11"/>
        <w:ind w:firstLine="560"/>
        <w:rPr>
          <w:rFonts w:ascii="仿宋_GB2312" w:eastAsia="仿宋_GB2312"/>
          <w:sz w:val="28"/>
          <w:szCs w:val="28"/>
        </w:rPr>
      </w:pPr>
    </w:p>
    <w:p>
      <w:pPr>
        <w:pStyle w:val="5"/>
      </w:pPr>
      <w:r>
        <w:rPr>
          <w:rFonts w:hint="eastAsia"/>
        </w:rPr>
        <w:t xml:space="preserve"> </w:t>
      </w:r>
      <w:bookmarkStart w:id="1904" w:name="_Toc17779"/>
      <w:bookmarkStart w:id="1905" w:name="_Toc21180"/>
      <w:bookmarkStart w:id="1906" w:name="_Toc11826"/>
      <w:bookmarkStart w:id="1907" w:name="_Toc17887"/>
      <w:bookmarkStart w:id="1908" w:name="_Toc8706"/>
      <w:bookmarkStart w:id="1909" w:name="_Toc23588"/>
      <w:bookmarkStart w:id="1910" w:name="_Toc353"/>
      <w:r>
        <w:rPr>
          <w:rFonts w:hint="eastAsia"/>
        </w:rPr>
        <w:t>苏州市工程造价管理处</w:t>
      </w:r>
      <w:bookmarkEnd w:id="1904"/>
      <w:bookmarkEnd w:id="1905"/>
      <w:bookmarkEnd w:id="1906"/>
      <w:bookmarkEnd w:id="1907"/>
      <w:bookmarkEnd w:id="1908"/>
      <w:bookmarkEnd w:id="1909"/>
      <w:bookmarkEnd w:id="1910"/>
    </w:p>
    <w:p>
      <w:pPr>
        <w:pStyle w:val="5"/>
      </w:pPr>
    </w:p>
    <w:p>
      <w:pPr>
        <w:pStyle w:val="4"/>
      </w:pPr>
      <w:bookmarkStart w:id="1911" w:name="_Toc30265"/>
      <w:bookmarkStart w:id="1912" w:name="_Toc3480"/>
      <w:bookmarkStart w:id="1913" w:name="_Toc10564"/>
      <w:bookmarkStart w:id="1914" w:name="_Toc7431"/>
      <w:bookmarkStart w:id="1915" w:name="_Toc23939"/>
      <w:bookmarkStart w:id="1916" w:name="_Toc16199"/>
      <w:bookmarkStart w:id="1917" w:name="_Toc14750"/>
      <w:bookmarkStart w:id="1918" w:name="_Toc16914"/>
      <w:bookmarkStart w:id="1919" w:name="_Toc12151"/>
      <w:bookmarkStart w:id="1920" w:name="_Toc5576"/>
      <w:bookmarkStart w:id="1921" w:name="_Toc16053"/>
      <w:r>
        <w:rPr>
          <w:rFonts w:hint="eastAsia"/>
        </w:rPr>
        <w:t>苏工价〔2013〕16号</w:t>
      </w:r>
      <w:bookmarkEnd w:id="1911"/>
      <w:bookmarkEnd w:id="1912"/>
      <w:bookmarkEnd w:id="1913"/>
      <w:bookmarkEnd w:id="1914"/>
      <w:bookmarkEnd w:id="1915"/>
      <w:bookmarkEnd w:id="1916"/>
      <w:bookmarkEnd w:id="1917"/>
      <w:bookmarkEnd w:id="1918"/>
      <w:bookmarkEnd w:id="1919"/>
      <w:bookmarkEnd w:id="1920"/>
      <w:bookmarkEnd w:id="1921"/>
    </w:p>
    <w:p>
      <w:pPr>
        <w:widowControl/>
        <w:spacing w:beforeAutospacing="1" w:after="100" w:afterAutospacing="1" w:line="351" w:lineRule="atLeast"/>
        <w:ind w:firstLine="560"/>
        <w:jc w:val="center"/>
        <w:rPr>
          <w:rFonts w:ascii="黑体" w:hAnsi="宋体" w:eastAsia="黑体" w:cs="宋体"/>
          <w:color w:val="FF0000"/>
          <w:kern w:val="0"/>
          <w:sz w:val="32"/>
          <w:szCs w:val="32"/>
        </w:rPr>
      </w:pPr>
      <w:r>
        <w:fldChar w:fldCharType="begin"/>
      </w:r>
      <w:r>
        <w:instrText xml:space="preserve"> INCLUDEPICTURE "C:\\Users\\ADMINI~1\\AppData\\Local\\Temp\\ksohtml\\wpsBC19.tmp.png" \* MERGEFORMATINET </w:instrText>
      </w:r>
      <w:r>
        <w:fldChar w:fldCharType="separate"/>
      </w:r>
      <w:r>
        <w:drawing>
          <wp:inline distT="0" distB="0" distL="114300" distR="114300">
            <wp:extent cx="2296160" cy="8255"/>
            <wp:effectExtent l="0" t="0" r="0" b="0"/>
            <wp:docPr id="91" name="图片 5" descr="wps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descr="wpsADA0"/>
                    <pic:cNvPicPr>
                      <a:picLocks noChangeAspect="1"/>
                    </pic:cNvPicPr>
                  </pic:nvPicPr>
                  <pic:blipFill>
                    <a:blip r:embed="rId144"/>
                    <a:stretch>
                      <a:fillRect/>
                    </a:stretch>
                  </pic:blipFill>
                  <pic:spPr>
                    <a:xfrm>
                      <a:off x="0" y="0"/>
                      <a:ext cx="2296160" cy="8255"/>
                    </a:xfrm>
                    <a:prstGeom prst="rect">
                      <a:avLst/>
                    </a:prstGeom>
                    <a:noFill/>
                    <a:ln>
                      <a:noFill/>
                    </a:ln>
                  </pic:spPr>
                </pic:pic>
              </a:graphicData>
            </a:graphic>
          </wp:inline>
        </w:drawing>
      </w:r>
      <w:r>
        <w:fldChar w:fldCharType="end"/>
      </w:r>
      <w:r>
        <w:fldChar w:fldCharType="begin"/>
      </w:r>
      <w:r>
        <w:instrText xml:space="preserve"> INCLUDEPICTURE "C:\\Users\\ADMINI~1\\AppData\\Local\\Temp\\ksohtml\\wpsBC1A.tmp.png" \* MERGEFORMATINET </w:instrText>
      </w:r>
      <w:r>
        <w:fldChar w:fldCharType="separate"/>
      </w:r>
      <w:r>
        <w:drawing>
          <wp:inline distT="0" distB="0" distL="114300" distR="114300">
            <wp:extent cx="2408555" cy="8255"/>
            <wp:effectExtent l="0" t="0" r="0" b="0"/>
            <wp:docPr id="92" name="图片 6" descr="wpsA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descr="wpsADB1"/>
                    <pic:cNvPicPr>
                      <a:picLocks noChangeAspect="1"/>
                    </pic:cNvPicPr>
                  </pic:nvPicPr>
                  <pic:blipFill>
                    <a:blip r:embed="rId145"/>
                    <a:stretch>
                      <a:fillRect/>
                    </a:stretch>
                  </pic:blipFill>
                  <pic:spPr>
                    <a:xfrm>
                      <a:off x="0" y="0"/>
                      <a:ext cx="2408555" cy="8255"/>
                    </a:xfrm>
                    <a:prstGeom prst="rect">
                      <a:avLst/>
                    </a:prstGeom>
                    <a:noFill/>
                    <a:ln>
                      <a:noFill/>
                    </a:ln>
                  </pic:spPr>
                </pic:pic>
              </a:graphicData>
            </a:graphic>
          </wp:inline>
        </w:drawing>
      </w:r>
      <w:r>
        <w:fldChar w:fldCharType="end"/>
      </w:r>
      <w:r>
        <w:rPr>
          <w:rFonts w:hint="eastAsia" w:ascii="黑体" w:hAnsi="宋体" w:eastAsia="黑体" w:cs="宋体"/>
          <w:color w:val="FF0000"/>
          <w:kern w:val="0"/>
          <w:sz w:val="32"/>
          <w:szCs w:val="32"/>
        </w:rPr>
        <w:t xml:space="preserve"> </w:t>
      </w:r>
    </w:p>
    <w:p>
      <w:pPr>
        <w:widowControl/>
        <w:spacing w:before="100" w:beforeAutospacing="1" w:after="100" w:afterAutospacing="1" w:line="351" w:lineRule="atLeast"/>
        <w:ind w:firstLine="380"/>
        <w:jc w:val="center"/>
        <w:rPr>
          <w:rFonts w:ascii="宋体" w:hAnsi="宋体"/>
          <w:color w:val="000000"/>
          <w:kern w:val="0"/>
          <w:sz w:val="19"/>
          <w:szCs w:val="19"/>
        </w:rPr>
      </w:pPr>
      <w:r>
        <w:rPr>
          <w:rFonts w:hint="eastAsia" w:ascii="宋体" w:hAnsi="宋体"/>
          <w:color w:val="000000"/>
          <w:kern w:val="0"/>
          <w:sz w:val="19"/>
          <w:szCs w:val="19"/>
        </w:rPr>
        <w:t xml:space="preserve"> </w:t>
      </w:r>
    </w:p>
    <w:p>
      <w:pPr>
        <w:pStyle w:val="3"/>
      </w:pPr>
      <w:bookmarkStart w:id="1922" w:name="_Toc22932"/>
      <w:bookmarkStart w:id="1923" w:name="_Toc11975"/>
      <w:bookmarkStart w:id="1924" w:name="_Toc20457"/>
      <w:bookmarkStart w:id="1925" w:name="_Toc7583"/>
      <w:bookmarkStart w:id="1926" w:name="_Toc32347"/>
      <w:bookmarkStart w:id="1927" w:name="_Toc1038"/>
      <w:bookmarkStart w:id="1928" w:name="_Toc14986"/>
      <w:bookmarkStart w:id="1929" w:name="_Toc17246"/>
      <w:bookmarkStart w:id="1930" w:name="_Toc27115"/>
      <w:bookmarkStart w:id="1931" w:name="_Toc21683"/>
      <w:bookmarkStart w:id="1932" w:name="_Toc31041"/>
      <w:bookmarkStart w:id="1933" w:name="_Toc11648"/>
      <w:bookmarkStart w:id="1934" w:name="_Toc27749"/>
      <w:bookmarkStart w:id="1935" w:name="_Toc9216"/>
      <w:r>
        <w:rPr>
          <w:rFonts w:hint="eastAsia"/>
        </w:rPr>
        <w:t>关于明确建设工程计价有关问题的通知</w:t>
      </w:r>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p>
    <w:p>
      <w:pPr>
        <w:ind w:firstLine="560"/>
      </w:pPr>
    </w:p>
    <w:p>
      <w:pPr>
        <w:ind w:firstLine="0" w:firstLineChars="0"/>
      </w:pPr>
      <w:r>
        <w:rPr>
          <w:rFonts w:hint="eastAsia"/>
        </w:rPr>
        <w:t>各建设、设计、施工、中介咨询机构，各有关单位：</w:t>
      </w:r>
    </w:p>
    <w:p>
      <w:pPr>
        <w:ind w:firstLine="560"/>
      </w:pPr>
      <w:r>
        <w:rPr>
          <w:rFonts w:hint="eastAsia"/>
        </w:rPr>
        <w:t>为规范计价行为，统一计价口径，现就建设工程计价有关问题明确如下：</w:t>
      </w:r>
    </w:p>
    <w:p>
      <w:pPr>
        <w:ind w:firstLine="560"/>
      </w:pPr>
      <w:r>
        <w:rPr>
          <w:rFonts w:hint="eastAsia"/>
        </w:rPr>
        <w:t>一、按照《苏州市政府投资建筑工程变更备案管理实施细则》（苏住建规〔2013〕1号）规定，苏州市政府投资建筑工程应备案而未备案的变更项目，不得列入竣工结算。</w:t>
      </w:r>
    </w:p>
    <w:p>
      <w:pPr>
        <w:ind w:firstLine="560"/>
      </w:pPr>
      <w:r>
        <w:rPr>
          <w:rFonts w:hint="eastAsia"/>
        </w:rPr>
        <w:t>二、2012年12月起，我省建设工程人工工资单价由政策性调整改为实行动态管理，并于2013年3月1日起发布人工工资指导价。2013年3月1日之前签订的施工合同，3月1日之后完成的工程量遇人工工资指导价调整时的处理意见：</w:t>
      </w:r>
    </w:p>
    <w:p>
      <w:pPr>
        <w:ind w:firstLine="560"/>
      </w:pPr>
      <w:r>
        <w:rPr>
          <w:rFonts w:hint="eastAsia"/>
        </w:rPr>
        <w:t>参照合同中约定的主要材料差价的调整办法。在与风险费用比较时，将人工工资指导价引起的人工费及企业管理费、利润的差价与主要材料的差价合并计算。</w:t>
      </w:r>
    </w:p>
    <w:p>
      <w:pPr>
        <w:ind w:firstLine="560"/>
      </w:pPr>
      <w:r>
        <w:rPr>
          <w:rFonts w:hint="eastAsia"/>
        </w:rPr>
        <w:t>三、根据《关于我市建设工程竣工结算差价调整的指导意见》（苏住建价〔2012〕19号）文件精神，合同工期在6个月以上的招标项目，不再计取风险费用；合同工期在6个月以内的招标项目，是否计取风险费用在招标文件中明确。</w:t>
      </w:r>
    </w:p>
    <w:p>
      <w:pPr>
        <w:ind w:firstLine="560"/>
      </w:pPr>
      <w:r>
        <w:rPr>
          <w:rFonts w:hint="eastAsia"/>
        </w:rPr>
        <w:t>四、《关于我市建设工程竣工结算差价调整的指导意见》（苏住建价〔2012〕19号）文件中单位专业工程的专业是指土建、桩基、大型土石方、水、电、通风空调、消防、智能化、道路、桥梁和市政排水等等最基本的专业单元。</w:t>
      </w:r>
    </w:p>
    <w:p>
      <w:pPr>
        <w:ind w:firstLine="560"/>
      </w:pPr>
      <w:r>
        <w:rPr>
          <w:rFonts w:hint="eastAsia"/>
        </w:rPr>
        <w:t>五、《关于规范苏州市建设工程材料价格差价调整的若干意见》（苏建价〔2007〕20号）和《关于苏州市建设工程材料差价调整的指导意见》（苏建价〔2009〕10号）文中关于“由于发包人原因造成推迟开工或延期竣工的，价格上涨或下跌产生的差价”的计价原则是：</w:t>
      </w:r>
    </w:p>
    <w:p>
      <w:pPr>
        <w:ind w:firstLine="560"/>
      </w:pPr>
      <w:r>
        <w:rPr>
          <w:rFonts w:hint="eastAsia"/>
        </w:rPr>
        <w:t>期间造成的差价均应调整，承包人有损失的，经发包人确认后由发包人承担。</w:t>
      </w:r>
    </w:p>
    <w:p>
      <w:pPr>
        <w:ind w:firstLine="560"/>
      </w:pPr>
      <w:r>
        <w:rPr>
          <w:rFonts w:hint="eastAsia"/>
        </w:rPr>
        <w:t>六、计价的原则是：做什么专业，取什么费，当该专业计价表无对应子目，需借用其他专业计价表子目时，只借用人、材、机消耗量，其余均按本专业取费。</w:t>
      </w:r>
    </w:p>
    <w:p>
      <w:pPr>
        <w:ind w:firstLine="560"/>
      </w:pPr>
      <w:r>
        <w:rPr>
          <w:rFonts w:hint="eastAsia"/>
        </w:rPr>
        <w:t>七、凡以恢复、改善使用功能，延长房屋使用年限为主的改造项目，如平改坡、普通立面改造以及改造项目中的零星装饰工程等等，按修缮工程计价。</w:t>
      </w:r>
    </w:p>
    <w:p>
      <w:pPr>
        <w:ind w:firstLine="560"/>
      </w:pPr>
      <w:r>
        <w:rPr>
          <w:rFonts w:hint="eastAsia"/>
        </w:rPr>
        <w:t>凡以提高标准对可正常使用的建筑物进行装修为主的改造项目，其中的装饰工程，按单独装饰工程计价。</w:t>
      </w:r>
    </w:p>
    <w:p>
      <w:pPr>
        <w:ind w:firstLine="560"/>
      </w:pPr>
      <w:r>
        <w:rPr>
          <w:rFonts w:hint="eastAsia"/>
        </w:rPr>
        <w:t>八、发包的建筑工程中含有的装饰项目仍按建筑工程计价，只有单独发包的装饰工程才能按单独装饰工程计价。</w:t>
      </w:r>
    </w:p>
    <w:p>
      <w:pPr>
        <w:ind w:firstLine="560"/>
      </w:pPr>
      <w:r>
        <w:rPr>
          <w:rFonts w:hint="eastAsia"/>
        </w:rPr>
        <w:t>九、钢结构厂房（包括全钢结构、预制柱或现浇柱上面是钢结构的）工期按现浇框架乘系数0.7计算。</w:t>
      </w:r>
    </w:p>
    <w:p>
      <w:pPr>
        <w:ind w:firstLine="560"/>
      </w:pPr>
      <w:r>
        <w:rPr>
          <w:rFonts w:hint="eastAsia"/>
        </w:rPr>
        <w:t>十、对于设计图纸无具体做法的高大空间模板支撑以及基坑围护等，招标控制价编制人和投标人应按招标文件、设计图纸和现场情况等进行计价和报价，如与其对应的实体未发生变更，其费用一般（包括经专家论证的）不予调整。</w:t>
      </w:r>
    </w:p>
    <w:p>
      <w:pPr>
        <w:ind w:firstLine="560"/>
      </w:pPr>
      <w:r>
        <w:rPr>
          <w:rFonts w:hint="eastAsia"/>
        </w:rPr>
        <w:t>十一、钢筋接头设计如采用电渣压力焊、套管接头、锥螺纹、墩粗直螺纹的，清单列项时，应将钢筋接头单列。</w:t>
      </w:r>
    </w:p>
    <w:p>
      <w:pPr>
        <w:ind w:firstLine="560"/>
      </w:pPr>
      <w:r>
        <w:rPr>
          <w:rFonts w:hint="eastAsia"/>
        </w:rPr>
        <w:t>十二、三轴深层搅拌桩套用苏州补充子目，计算打桩工程量时，套打部分的工程量不扣除，计算水泥用量时，按实际掺入量。但工程量清单是否包括套打部分的工程量应在项目特征中注明。</w:t>
      </w:r>
    </w:p>
    <w:p>
      <w:pPr>
        <w:ind w:firstLine="560"/>
      </w:pPr>
      <w:r>
        <w:rPr>
          <w:rFonts w:hint="eastAsia"/>
        </w:rPr>
        <w:t>十三、打空心方桩套用方桩子目，计算工程量时制作扣除空心体积，打桩不扣除空心体积。</w:t>
      </w:r>
    </w:p>
    <w:p>
      <w:pPr>
        <w:ind w:firstLine="560"/>
      </w:pPr>
      <w:r>
        <w:rPr>
          <w:rFonts w:hint="eastAsia"/>
        </w:rPr>
        <w:t>十四、计算模板工程量时，除施工合同另有约定外，均按砼与模板的接触面积计算。施工单位投标时为快速报价，按计价表中的模板含量表计算模板工程量的，竣工结算时不得按实际接触面积进行调整。</w:t>
      </w:r>
    </w:p>
    <w:p>
      <w:pPr>
        <w:ind w:firstLine="560"/>
      </w:pPr>
      <w:r>
        <w:rPr>
          <w:rFonts w:hint="eastAsia"/>
        </w:rPr>
        <w:t>十五、幕墙工程中的幕墙制作不论是自己制作还是成品购入，均列入工程总造价，按营业税、城市维护建设税及教育费附加进行计税，不得按增值税计税。</w:t>
      </w:r>
    </w:p>
    <w:p>
      <w:pPr>
        <w:ind w:firstLine="560"/>
      </w:pPr>
      <w:r>
        <w:rPr>
          <w:rFonts w:hint="eastAsia"/>
        </w:rPr>
        <w:t>十六、市政工程中为满足行人、社会车辆通行而搭设的便桥、便道等不在临时设施范围内，应另列项目计算。</w:t>
      </w:r>
    </w:p>
    <w:p>
      <w:pPr>
        <w:ind w:firstLine="560"/>
      </w:pPr>
      <w:r>
        <w:rPr>
          <w:rFonts w:hint="eastAsia"/>
        </w:rPr>
        <w:t>十七、市政工程中塑料管、钢管的清单工程量不扣除检查井所占长度，计价表工程量除设计要求管道穿过检查井时，按通长长度计算之外，应参照混凝土管的计算规则，扣除检查井所占长度。</w:t>
      </w:r>
    </w:p>
    <w:p>
      <w:pPr>
        <w:ind w:firstLine="560"/>
      </w:pPr>
      <w:r>
        <w:rPr>
          <w:rFonts w:hint="eastAsia"/>
        </w:rPr>
        <w:t>十八、类别划分和取费</w:t>
      </w:r>
    </w:p>
    <w:p>
      <w:pPr>
        <w:ind w:firstLine="560"/>
      </w:pPr>
      <w:r>
        <w:rPr>
          <w:rFonts w:hint="eastAsia"/>
        </w:rPr>
        <w:t>1、降水施工，按大型土石方取费。</w:t>
      </w:r>
    </w:p>
    <w:p>
      <w:pPr>
        <w:ind w:firstLine="560"/>
      </w:pPr>
      <w:r>
        <w:rPr>
          <w:rFonts w:hint="eastAsia"/>
        </w:rPr>
        <w:t>2、穿线、缆的管沟、通道：在厂区或住宅小区内的按建筑工程计价，类别按三类；在厂区或住宅小区外的按市政工程计价，类别按通用项目、道路、排水工程三类；设计注明按市政标准的，则按市政工程计价。</w:t>
      </w:r>
    </w:p>
    <w:p>
      <w:pPr>
        <w:ind w:firstLine="560"/>
      </w:pPr>
      <w:r>
        <w:rPr>
          <w:rFonts w:hint="eastAsia"/>
        </w:rPr>
        <w:t>3、基坑围护中的地下连续墙参照灌注砼桩确定类别。</w:t>
      </w:r>
    </w:p>
    <w:p>
      <w:pPr>
        <w:ind w:firstLine="560"/>
      </w:pPr>
      <w:r>
        <w:rPr>
          <w:rFonts w:hint="eastAsia"/>
        </w:rPr>
        <w:t>4、基坑砼支撑按建筑工程二类标准执行。</w:t>
      </w:r>
    </w:p>
    <w:p>
      <w:pPr>
        <w:ind w:firstLine="560"/>
      </w:pPr>
      <w:r>
        <w:rPr>
          <w:rFonts w:hint="eastAsia"/>
        </w:rPr>
        <w:t>5、基槽坑回填砂、灰土等与土石方合计达到大型土石方类别标准时，按大型土石方取费。</w:t>
      </w:r>
    </w:p>
    <w:p>
      <w:pPr>
        <w:ind w:firstLine="560"/>
      </w:pPr>
      <w:r>
        <w:rPr>
          <w:rFonts w:hint="eastAsia"/>
        </w:rPr>
        <w:t>6、沿道路、绿化带设的管廊参照市政排水渠道确定类别。</w:t>
      </w:r>
    </w:p>
    <w:p>
      <w:pPr>
        <w:ind w:firstLine="560"/>
      </w:pPr>
      <w:r>
        <w:rPr>
          <w:rFonts w:hint="eastAsia"/>
        </w:rPr>
        <w:t>7、交通标志、标线工程，按照09费用定额市政专业取费时，企业管理费和利润费率执行路灯及交通设施工程的标准，社会保障费率及公积金费率执行市政给水、燃气、路灯工程的标准。</w:t>
      </w:r>
    </w:p>
    <w:p>
      <w:pPr>
        <w:ind w:firstLine="560"/>
      </w:pPr>
      <w:r>
        <w:rPr>
          <w:rFonts w:hint="eastAsia"/>
        </w:rPr>
        <w:t>十九、以前解释与本文不一致的，以本文为准；在本文执行过程中，如遇上级有新规定，则按上级规定执行。</w:t>
      </w:r>
    </w:p>
    <w:p>
      <w:pPr>
        <w:ind w:firstLine="560"/>
      </w:pPr>
      <w:r>
        <w:rPr>
          <w:rFonts w:hint="eastAsia"/>
        </w:rPr>
        <w:t>二十、本文下发后，已经结算的工程不再调整。</w:t>
      </w:r>
    </w:p>
    <w:p>
      <w:pPr>
        <w:ind w:firstLine="560"/>
      </w:pPr>
      <w:r>
        <w:rPr>
          <w:rFonts w:hint="eastAsia"/>
        </w:rPr>
        <w:t xml:space="preserve"> </w:t>
      </w:r>
    </w:p>
    <w:p>
      <w:pPr>
        <w:pStyle w:val="2"/>
        <w:numPr>
          <w:ilvl w:val="0"/>
          <w:numId w:val="0"/>
        </w:numPr>
        <w:ind w:left="560" w:leftChars="0"/>
      </w:pPr>
    </w:p>
    <w:p>
      <w:pPr>
        <w:ind w:firstLine="4564" w:firstLineChars="1630"/>
      </w:pPr>
      <w:r>
        <w:rPr>
          <w:rFonts w:hint="eastAsia"/>
        </w:rPr>
        <w:t>苏州市工程造价管理处</w:t>
      </w:r>
    </w:p>
    <w:p>
      <w:pPr>
        <w:ind w:firstLine="560"/>
      </w:pPr>
      <w:r>
        <w:rPr>
          <w:rFonts w:hint="eastAsia"/>
        </w:rPr>
        <w:t xml:space="preserve">                             </w:t>
      </w:r>
      <w:r>
        <w:t xml:space="preserve">    </w:t>
      </w:r>
      <w:r>
        <w:rPr>
          <w:rFonts w:hint="eastAsia"/>
        </w:rPr>
        <w:t>2013年9月6日</w:t>
      </w:r>
    </w:p>
    <w:p>
      <w:pPr>
        <w:pStyle w:val="5"/>
        <w:rPr>
          <w:rStyle w:val="29"/>
          <w:bCs/>
        </w:rPr>
      </w:pPr>
      <w:r>
        <w:br w:type="page"/>
      </w:r>
      <w:bookmarkStart w:id="1936" w:name="_Toc15907"/>
      <w:bookmarkStart w:id="1937" w:name="_Toc32486"/>
      <w:bookmarkStart w:id="1938" w:name="_Toc13148"/>
      <w:bookmarkStart w:id="1939" w:name="_Toc24193"/>
      <w:bookmarkStart w:id="1940" w:name="_Toc13262"/>
      <w:bookmarkStart w:id="1941" w:name="_Toc30065"/>
      <w:bookmarkStart w:id="1942" w:name="_Toc23612"/>
      <w:r>
        <w:rPr>
          <w:rStyle w:val="29"/>
          <w:rFonts w:hint="eastAsia"/>
          <w:bCs/>
        </w:rPr>
        <w:t>苏州市工程造价管理处</w:t>
      </w:r>
      <w:bookmarkEnd w:id="1936"/>
      <w:bookmarkEnd w:id="1937"/>
      <w:bookmarkEnd w:id="1938"/>
      <w:bookmarkEnd w:id="1939"/>
      <w:bookmarkEnd w:id="1940"/>
      <w:bookmarkEnd w:id="1941"/>
      <w:bookmarkEnd w:id="1942"/>
    </w:p>
    <w:p>
      <w:pPr>
        <w:widowControl/>
        <w:tabs>
          <w:tab w:val="left" w:pos="6840"/>
        </w:tabs>
        <w:spacing w:line="14" w:lineRule="atLeast"/>
        <w:ind w:firstLine="560"/>
        <w:jc w:val="center"/>
        <w:rPr>
          <w:rFonts w:ascii="仿宋_GB2312"/>
        </w:rPr>
      </w:pPr>
    </w:p>
    <w:p>
      <w:pPr>
        <w:pStyle w:val="4"/>
      </w:pPr>
      <w:bookmarkStart w:id="1943" w:name="_Toc13948"/>
      <w:bookmarkStart w:id="1944" w:name="_Toc15880"/>
      <w:bookmarkStart w:id="1945" w:name="_Toc12951"/>
      <w:bookmarkStart w:id="1946" w:name="_Toc4455"/>
      <w:bookmarkStart w:id="1947" w:name="_Toc13801"/>
      <w:bookmarkStart w:id="1948" w:name="_Toc31841"/>
      <w:bookmarkStart w:id="1949" w:name="_Toc24819"/>
      <w:bookmarkStart w:id="1950" w:name="_Toc1165"/>
      <w:bookmarkStart w:id="1951" w:name="_Toc29351"/>
      <w:bookmarkStart w:id="1952" w:name="_Toc21928"/>
      <w:bookmarkStart w:id="1953" w:name="_Toc16372"/>
      <w:r>
        <w:rPr>
          <w:rFonts w:hint="eastAsia"/>
        </w:rPr>
        <w:t>苏工价〔2013〕19号</w:t>
      </w:r>
      <w:bookmarkEnd w:id="1943"/>
      <w:bookmarkEnd w:id="1944"/>
      <w:bookmarkEnd w:id="1945"/>
      <w:bookmarkEnd w:id="1946"/>
      <w:bookmarkEnd w:id="1947"/>
      <w:bookmarkEnd w:id="1948"/>
      <w:bookmarkEnd w:id="1949"/>
      <w:bookmarkEnd w:id="1950"/>
      <w:bookmarkEnd w:id="1951"/>
      <w:bookmarkEnd w:id="1952"/>
      <w:bookmarkEnd w:id="1953"/>
    </w:p>
    <w:p>
      <w:pPr>
        <w:ind w:firstLine="560"/>
      </w:pPr>
    </w:p>
    <w:p>
      <w:pPr>
        <w:ind w:firstLine="560"/>
        <w:rPr>
          <w:rFonts w:eastAsia="楷体_GB2312"/>
          <w:w w:val="80"/>
        </w:rPr>
      </w:pPr>
      <w:r>
        <mc:AlternateContent>
          <mc:Choice Requires="wps">
            <w:drawing>
              <wp:anchor distT="0" distB="0" distL="114300" distR="114300" simplePos="0" relativeHeight="251696128" behindDoc="0" locked="0" layoutInCell="1" allowOverlap="1">
                <wp:simplePos x="0" y="0"/>
                <wp:positionH relativeFrom="column">
                  <wp:posOffset>0</wp:posOffset>
                </wp:positionH>
                <wp:positionV relativeFrom="paragraph">
                  <wp:posOffset>177800</wp:posOffset>
                </wp:positionV>
                <wp:extent cx="5791200" cy="0"/>
                <wp:effectExtent l="0" t="13970" r="0" b="24130"/>
                <wp:wrapNone/>
                <wp:docPr id="93" name="直接连接符 93"/>
                <wp:cNvGraphicFramePr/>
                <a:graphic xmlns:a="http://schemas.openxmlformats.org/drawingml/2006/main">
                  <a:graphicData uri="http://schemas.microsoft.com/office/word/2010/wordprocessingShape">
                    <wps:wsp>
                      <wps:cNvCnPr/>
                      <wps:spPr>
                        <a:xfrm>
                          <a:off x="0" y="0"/>
                          <a:ext cx="5791200" cy="0"/>
                        </a:xfrm>
                        <a:prstGeom prst="line">
                          <a:avLst/>
                        </a:prstGeom>
                        <a:ln w="28575"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0pt;margin-top:14pt;height:0pt;width:456pt;z-index:251696128;mso-width-relative:page;mso-height-relative:page;" filled="f" stroked="t" coordsize="21600,21600" o:gfxdata="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0TYtltMAAAAGAQAADwAAAAAAAAABACAAAAAiAAAAZHJzL2Rvd25yZXYueG1sUEsBAhQAFAAAAAgA&#10;h07iQEhaaDzxAQAA2wMAAA4AAAAAAAAAAQAgAAAAIgEAAGRycy9lMm9Eb2MueG1sUEsFBgAAAAAG&#10;AAYAWQEAAIUFAAAAAA==&#10;">
                <v:fill on="f" focussize="0,0"/>
                <v:stroke weight="2.25pt" color="#FF0000" joinstyle="round"/>
                <v:imagedata o:title=""/>
                <o:lock v:ext="edit" aspectratio="f"/>
              </v:line>
            </w:pict>
          </mc:Fallback>
        </mc:AlternateContent>
      </w:r>
    </w:p>
    <w:p>
      <w:pPr>
        <w:pStyle w:val="3"/>
      </w:pPr>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1954" w:name="_Toc13196"/>
      <w:bookmarkStart w:id="1955" w:name="_Toc20539"/>
      <w:bookmarkStart w:id="1956" w:name="_Toc7352"/>
      <w:bookmarkStart w:id="1957" w:name="_Toc23206"/>
      <w:bookmarkStart w:id="1958" w:name="_Toc25968"/>
      <w:bookmarkStart w:id="1959" w:name="_Toc23049"/>
      <w:bookmarkStart w:id="1960" w:name="_Toc5210"/>
      <w:bookmarkStart w:id="1961" w:name="_Toc6009"/>
      <w:bookmarkStart w:id="1962" w:name="_Toc9218"/>
      <w:bookmarkStart w:id="1963" w:name="_Toc21961"/>
      <w:bookmarkStart w:id="1964" w:name="_Toc8271"/>
      <w:bookmarkStart w:id="1965" w:name="_Toc10289"/>
      <w:bookmarkStart w:id="1966" w:name="_Toc2234"/>
      <w:bookmarkStart w:id="1967" w:name="_Toc16290"/>
      <w:r>
        <w:rPr>
          <w:rFonts w:hint="eastAsia"/>
        </w:rPr>
        <w:t>关于执行《江苏省城市轨道交通工程计价表》有关问题的通知</w:t>
      </w:r>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p>
    <w:p>
      <w:pPr>
        <w:ind w:firstLine="560"/>
      </w:pPr>
    </w:p>
    <w:p>
      <w:pPr>
        <w:ind w:firstLine="0" w:firstLineChars="0"/>
      </w:pPr>
      <w:r>
        <w:rPr>
          <w:rFonts w:hint="eastAsia"/>
        </w:rPr>
        <w:t>各建设、施工、咨询单位：</w:t>
      </w:r>
    </w:p>
    <w:p>
      <w:pPr>
        <w:ind w:firstLine="560"/>
      </w:pPr>
      <w:r>
        <w:t>《江苏省城市轨道交通工程计价表》（20</w:t>
      </w:r>
      <w:r>
        <w:rPr>
          <w:rFonts w:hint="eastAsia"/>
        </w:rPr>
        <w:t>13</w:t>
      </w:r>
      <w:r>
        <w:t>年版）已由省住房和城乡建设厅颁发，</w:t>
      </w:r>
      <w:r>
        <w:rPr>
          <w:rFonts w:hint="eastAsia"/>
        </w:rPr>
        <w:t>并于</w:t>
      </w:r>
      <w:r>
        <w:t>201</w:t>
      </w:r>
      <w:r>
        <w:rPr>
          <w:rFonts w:hint="eastAsia"/>
        </w:rPr>
        <w:t>3</w:t>
      </w:r>
      <w:r>
        <w:t>年</w:t>
      </w:r>
      <w:r>
        <w:rPr>
          <w:rFonts w:hint="eastAsia"/>
        </w:rPr>
        <w:t>4</w:t>
      </w:r>
      <w:r>
        <w:t>月1日</w:t>
      </w:r>
      <w:r>
        <w:rPr>
          <w:rFonts w:hint="eastAsia"/>
        </w:rPr>
        <w:t>起</w:t>
      </w:r>
      <w:r>
        <w:t>执行</w:t>
      </w:r>
      <w:r>
        <w:rPr>
          <w:rFonts w:hint="eastAsia"/>
        </w:rPr>
        <w:t>。在省厅具体执行办法尚未下发的情形下，根据我市实际情况，现将执行</w:t>
      </w:r>
      <w:r>
        <w:t>《江苏省城市轨道交通工程计价表》</w:t>
      </w:r>
      <w:r>
        <w:rPr>
          <w:rFonts w:hint="eastAsia"/>
        </w:rPr>
        <w:t>及配套费用定额的有关问题暂时明确如下：</w:t>
      </w:r>
    </w:p>
    <w:p>
      <w:pPr>
        <w:ind w:firstLine="560"/>
      </w:pPr>
      <w:r>
        <w:rPr>
          <w:rFonts w:hint="eastAsia"/>
        </w:rPr>
        <w:t>一、为了减少争议，增加可操作性，对其费用定额中措施项目费费率确定统一标准，调整后的措施项目费费率详见附表一。</w:t>
      </w:r>
    </w:p>
    <w:p>
      <w:pPr>
        <w:ind w:firstLine="560"/>
      </w:pPr>
      <w:r>
        <w:rPr>
          <w:rFonts w:hint="eastAsia"/>
        </w:rPr>
        <w:t>二、鉴于《</w:t>
      </w:r>
      <w:r>
        <w:t>城市轨道交通工程</w:t>
      </w:r>
      <w:r>
        <w:rPr>
          <w:rFonts w:hint="eastAsia"/>
        </w:rPr>
        <w:t>工程量计算规范》（</w:t>
      </w:r>
      <w:r>
        <w:t>GB50</w:t>
      </w:r>
      <w:r>
        <w:rPr>
          <w:rFonts w:hint="eastAsia"/>
        </w:rPr>
        <w:t>861</w:t>
      </w:r>
      <w:r>
        <w:t>-20</w:t>
      </w:r>
      <w:r>
        <w:rPr>
          <w:rFonts w:hint="eastAsia"/>
        </w:rPr>
        <w:t>13）尚未在江苏省执行，故苏州市</w:t>
      </w:r>
      <w:r>
        <w:t>城市轨道交通工程</w:t>
      </w:r>
      <w:r>
        <w:rPr>
          <w:rFonts w:hint="eastAsia"/>
        </w:rPr>
        <w:t>清单编制仍按《</w:t>
      </w:r>
      <w:r>
        <w:t>建设工程工程量清单计价规范</w:t>
      </w:r>
      <w:r>
        <w:rPr>
          <w:rFonts w:hint="eastAsia"/>
        </w:rPr>
        <w:t>》</w:t>
      </w:r>
      <w:r>
        <w:t>（GB50500-2008）</w:t>
      </w:r>
      <w:r>
        <w:rPr>
          <w:rFonts w:hint="eastAsia"/>
        </w:rPr>
        <w:t>的相关规定执行。</w:t>
      </w:r>
    </w:p>
    <w:p>
      <w:pPr>
        <w:ind w:firstLine="560"/>
      </w:pPr>
      <w:r>
        <w:rPr>
          <w:rFonts w:hint="eastAsia"/>
        </w:rPr>
        <w:t>三、</w:t>
      </w:r>
      <w:r>
        <w:t>在实施过程中如遇问题，请将意见和建议及时反馈至苏州市工程造价管理处。</w:t>
      </w:r>
    </w:p>
    <w:p>
      <w:pPr>
        <w:ind w:firstLine="4200" w:firstLineChars="1500"/>
      </w:pPr>
      <w:r>
        <w:rPr>
          <w:rFonts w:hint="eastAsia"/>
        </w:rPr>
        <w:t>苏州市工程造价管理处</w:t>
      </w:r>
    </w:p>
    <w:p>
      <w:pPr>
        <w:ind w:firstLine="4564" w:firstLineChars="1630"/>
      </w:pPr>
      <w:r>
        <w:t>2013</w:t>
      </w:r>
      <w:r>
        <w:rPr>
          <w:rFonts w:hint="eastAsia"/>
        </w:rPr>
        <w:t>年10月17日</w:t>
      </w:r>
    </w:p>
    <w:p>
      <w:pPr>
        <w:ind w:firstLine="0" w:firstLineChars="0"/>
        <w:jc w:val="left"/>
        <w:rPr>
          <w:rFonts w:ascii="方正仿宋_GBK" w:hAnsi="方正仿宋_GBK" w:eastAsia="方正仿宋_GBK" w:cs="方正仿宋_GBK"/>
          <w:kern w:val="0"/>
          <w:sz w:val="32"/>
          <w:szCs w:val="32"/>
        </w:rPr>
      </w:pPr>
      <w:r>
        <w:rPr>
          <w:rFonts w:ascii="仿宋_GB2312"/>
          <w:bCs/>
          <w:sz w:val="32"/>
          <w:szCs w:val="32"/>
        </w:rPr>
        <w:br w:type="page"/>
      </w:r>
      <w:r>
        <w:rPr>
          <w:rFonts w:hint="eastAsia" w:ascii="方正仿宋_GBK" w:hAnsi="方正仿宋_GBK" w:eastAsia="方正仿宋_GBK" w:cs="方正仿宋_GBK"/>
          <w:kern w:val="0"/>
          <w:sz w:val="32"/>
          <w:szCs w:val="32"/>
        </w:rPr>
        <w:t>附件一：</w:t>
      </w:r>
    </w:p>
    <w:p>
      <w:pPr>
        <w:widowControl/>
        <w:ind w:firstLine="640"/>
        <w:jc w:val="center"/>
        <w:rPr>
          <w:rFonts w:ascii="黑体" w:eastAsia="黑体"/>
          <w:kern w:val="0"/>
          <w:sz w:val="32"/>
          <w:szCs w:val="32"/>
        </w:rPr>
      </w:pPr>
    </w:p>
    <w:p>
      <w:pPr>
        <w:widowControl/>
        <w:ind w:firstLine="640"/>
        <w:jc w:val="center"/>
        <w:outlineLvl w:val="1"/>
        <w:rPr>
          <w:rFonts w:ascii="仿宋_GB2312"/>
          <w:kern w:val="0"/>
          <w:sz w:val="36"/>
          <w:szCs w:val="36"/>
        </w:rPr>
      </w:pPr>
      <w:bookmarkStart w:id="1968" w:name="_Toc3903"/>
      <w:bookmarkStart w:id="1969" w:name="_Toc8136"/>
      <w:bookmarkStart w:id="1970" w:name="_Toc22758"/>
      <w:bookmarkStart w:id="1971" w:name="_Toc7269"/>
      <w:bookmarkStart w:id="1972" w:name="_Toc25701"/>
      <w:bookmarkStart w:id="1973" w:name="_Toc4128"/>
      <w:bookmarkStart w:id="1974" w:name="_Toc5596"/>
      <w:bookmarkStart w:id="1975" w:name="_Toc18925"/>
      <w:bookmarkStart w:id="1976" w:name="_Toc12620"/>
      <w:bookmarkStart w:id="1977" w:name="_Toc1783"/>
      <w:bookmarkStart w:id="1978" w:name="_Toc19293"/>
      <w:bookmarkStart w:id="1979" w:name="_Toc21932"/>
      <w:r>
        <w:rPr>
          <w:rFonts w:hint="eastAsia" w:ascii="黑体" w:eastAsia="黑体"/>
          <w:kern w:val="0"/>
          <w:sz w:val="32"/>
          <w:szCs w:val="32"/>
        </w:rPr>
        <w:t>调整后的措施项目费费率</w:t>
      </w:r>
      <w:bookmarkEnd w:id="1968"/>
      <w:bookmarkEnd w:id="1969"/>
      <w:bookmarkEnd w:id="1970"/>
      <w:bookmarkEnd w:id="1971"/>
      <w:bookmarkEnd w:id="1972"/>
      <w:bookmarkEnd w:id="1973"/>
      <w:bookmarkEnd w:id="1974"/>
      <w:bookmarkEnd w:id="1975"/>
      <w:bookmarkEnd w:id="1976"/>
      <w:bookmarkEnd w:id="1977"/>
      <w:bookmarkEnd w:id="1978"/>
      <w:bookmarkEnd w:id="1979"/>
    </w:p>
    <w:p>
      <w:pPr>
        <w:widowControl/>
        <w:ind w:firstLine="480"/>
        <w:jc w:val="left"/>
        <w:rPr>
          <w:rFonts w:ascii="宋体" w:hAnsi="宋体" w:cs="宋体"/>
          <w:kern w:val="0"/>
          <w:sz w:val="24"/>
          <w:szCs w:val="32"/>
        </w:rPr>
      </w:pPr>
    </w:p>
    <w:tbl>
      <w:tblPr>
        <w:tblStyle w:val="22"/>
        <w:tblW w:w="8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0"/>
        <w:gridCol w:w="271"/>
        <w:gridCol w:w="2080"/>
        <w:gridCol w:w="1760"/>
        <w:gridCol w:w="2560"/>
        <w:gridCol w:w="10"/>
        <w:gridCol w:w="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19" w:type="dxa"/>
          <w:cantSplit/>
          <w:trHeight w:val="1007" w:hRule="atLeast"/>
          <w:jc w:val="center"/>
        </w:trPr>
        <w:tc>
          <w:tcPr>
            <w:tcW w:w="3821" w:type="dxa"/>
            <w:gridSpan w:val="3"/>
            <w:noWrap/>
            <w:vAlign w:val="center"/>
          </w:tcPr>
          <w:p>
            <w:pPr>
              <w:widowControl/>
              <w:spacing w:line="480" w:lineRule="exact"/>
              <w:ind w:firstLine="0" w:firstLineChars="0"/>
              <w:jc w:val="center"/>
              <w:rPr>
                <w:rFonts w:hAnsi="宋体" w:cs="宋体"/>
                <w:b/>
                <w:kern w:val="0"/>
                <w:szCs w:val="28"/>
              </w:rPr>
            </w:pPr>
            <w:r>
              <w:rPr>
                <w:rFonts w:hint="eastAsia" w:hAnsi="宋体" w:cs="宋体"/>
                <w:b/>
                <w:kern w:val="0"/>
                <w:szCs w:val="28"/>
              </w:rPr>
              <w:t>项目</w:t>
            </w:r>
          </w:p>
        </w:tc>
        <w:tc>
          <w:tcPr>
            <w:tcW w:w="1760" w:type="dxa"/>
            <w:vAlign w:val="center"/>
          </w:tcPr>
          <w:p>
            <w:pPr>
              <w:widowControl/>
              <w:spacing w:line="480" w:lineRule="exact"/>
              <w:ind w:firstLine="0" w:firstLineChars="0"/>
              <w:jc w:val="center"/>
              <w:rPr>
                <w:rFonts w:hAnsi="宋体" w:cs="宋体"/>
                <w:b/>
                <w:kern w:val="0"/>
                <w:szCs w:val="28"/>
              </w:rPr>
            </w:pPr>
            <w:r>
              <w:rPr>
                <w:rFonts w:hint="eastAsia" w:hAnsi="宋体" w:cs="宋体"/>
                <w:b/>
                <w:kern w:val="0"/>
                <w:szCs w:val="28"/>
              </w:rPr>
              <w:t>计算基础</w:t>
            </w:r>
          </w:p>
        </w:tc>
        <w:tc>
          <w:tcPr>
            <w:tcW w:w="2560" w:type="dxa"/>
            <w:vAlign w:val="center"/>
          </w:tcPr>
          <w:p>
            <w:pPr>
              <w:widowControl/>
              <w:spacing w:line="480" w:lineRule="exact"/>
              <w:ind w:firstLine="0" w:firstLineChars="0"/>
              <w:jc w:val="center"/>
              <w:rPr>
                <w:rFonts w:hAnsi="宋体" w:cs="宋体"/>
                <w:b/>
                <w:kern w:val="0"/>
                <w:szCs w:val="28"/>
              </w:rPr>
            </w:pPr>
            <w:r>
              <w:rPr>
                <w:rFonts w:hint="eastAsia" w:hAnsi="宋体" w:cs="宋体"/>
                <w:b/>
                <w:kern w:val="0"/>
                <w:szCs w:val="28"/>
              </w:rPr>
              <w:t>费率（％）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19" w:type="dxa"/>
          <w:cantSplit/>
          <w:trHeight w:val="285" w:hRule="atLeast"/>
          <w:jc w:val="center"/>
        </w:trPr>
        <w:tc>
          <w:tcPr>
            <w:tcW w:w="3821" w:type="dxa"/>
            <w:gridSpan w:val="3"/>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夜间施工增加费</w:t>
            </w:r>
          </w:p>
        </w:tc>
        <w:tc>
          <w:tcPr>
            <w:tcW w:w="1760" w:type="dxa"/>
            <w:vMerge w:val="restart"/>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分</w:t>
            </w:r>
            <w:r>
              <w:rPr>
                <w:rFonts w:hAnsi="宋体" w:cs="宋体"/>
                <w:kern w:val="0"/>
                <w:sz w:val="24"/>
              </w:rPr>
              <w:t xml:space="preserve"> </w:t>
            </w:r>
            <w:r>
              <w:rPr>
                <w:rFonts w:hint="eastAsia" w:hAnsi="宋体" w:cs="宋体"/>
                <w:kern w:val="0"/>
                <w:sz w:val="24"/>
              </w:rPr>
              <w:t>部</w:t>
            </w:r>
            <w:r>
              <w:rPr>
                <w:rFonts w:hAnsi="宋体" w:cs="宋体"/>
                <w:kern w:val="0"/>
                <w:sz w:val="24"/>
              </w:rPr>
              <w:t xml:space="preserve"> </w:t>
            </w:r>
            <w:r>
              <w:rPr>
                <w:rFonts w:hint="eastAsia" w:hAnsi="宋体" w:cs="宋体"/>
                <w:kern w:val="0"/>
                <w:sz w:val="24"/>
              </w:rPr>
              <w:t>分</w:t>
            </w:r>
            <w:r>
              <w:rPr>
                <w:rFonts w:hAnsi="宋体" w:cs="宋体"/>
                <w:kern w:val="0"/>
                <w:sz w:val="24"/>
              </w:rPr>
              <w:t xml:space="preserve"> </w:t>
            </w:r>
            <w:r>
              <w:rPr>
                <w:rFonts w:hint="eastAsia" w:hAnsi="宋体" w:cs="宋体"/>
                <w:kern w:val="0"/>
                <w:sz w:val="24"/>
              </w:rPr>
              <w:t>项</w:t>
            </w:r>
            <w:r>
              <w:rPr>
                <w:rFonts w:hAnsi="宋体" w:cs="宋体"/>
                <w:kern w:val="0"/>
                <w:sz w:val="24"/>
              </w:rPr>
              <w:t xml:space="preserve"> </w:t>
            </w:r>
            <w:r>
              <w:rPr>
                <w:rFonts w:hint="eastAsia" w:hAnsi="宋体" w:cs="宋体"/>
                <w:kern w:val="0"/>
                <w:sz w:val="24"/>
              </w:rPr>
              <w:t>工</w:t>
            </w:r>
            <w:r>
              <w:rPr>
                <w:rFonts w:hAnsi="宋体" w:cs="宋体"/>
                <w:kern w:val="0"/>
                <w:sz w:val="24"/>
              </w:rPr>
              <w:t xml:space="preserve"> </w:t>
            </w:r>
            <w:r>
              <w:rPr>
                <w:rFonts w:hint="eastAsia" w:hAnsi="宋体" w:cs="宋体"/>
                <w:kern w:val="0"/>
                <w:sz w:val="24"/>
              </w:rPr>
              <w:t>程</w:t>
            </w:r>
            <w:r>
              <w:rPr>
                <w:rFonts w:hAnsi="宋体" w:cs="宋体"/>
                <w:kern w:val="0"/>
                <w:sz w:val="24"/>
              </w:rPr>
              <w:t xml:space="preserve"> </w:t>
            </w:r>
            <w:r>
              <w:rPr>
                <w:rFonts w:hint="eastAsia" w:hAnsi="宋体" w:cs="宋体"/>
                <w:kern w:val="0"/>
                <w:sz w:val="24"/>
              </w:rPr>
              <w:t>费</w:t>
            </w:r>
          </w:p>
        </w:tc>
        <w:tc>
          <w:tcPr>
            <w:tcW w:w="2560" w:type="dxa"/>
            <w:vAlign w:val="center"/>
          </w:tcPr>
          <w:p>
            <w:pPr>
              <w:widowControl/>
              <w:spacing w:line="480" w:lineRule="exact"/>
              <w:ind w:firstLine="0" w:firstLineChars="0"/>
              <w:jc w:val="center"/>
              <w:rPr>
                <w:kern w:val="0"/>
                <w:sz w:val="24"/>
              </w:rPr>
            </w:pPr>
            <w:r>
              <w:rPr>
                <w:kern w:val="0"/>
                <w:sz w:val="24"/>
              </w:rPr>
              <w:t>0.0</w:t>
            </w:r>
            <w:r>
              <w:rPr>
                <w:rFonts w:hint="eastAsia"/>
                <w:kern w:val="0"/>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cantSplit/>
          <w:trHeight w:val="285" w:hRule="atLeast"/>
          <w:jc w:val="center"/>
        </w:trPr>
        <w:tc>
          <w:tcPr>
            <w:tcW w:w="3821" w:type="dxa"/>
            <w:gridSpan w:val="3"/>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冬雨季施工增加费</w:t>
            </w:r>
          </w:p>
        </w:tc>
        <w:tc>
          <w:tcPr>
            <w:tcW w:w="1760" w:type="dxa"/>
            <w:vMerge w:val="continue"/>
            <w:vAlign w:val="center"/>
          </w:tcPr>
          <w:p>
            <w:pPr>
              <w:widowControl/>
              <w:ind w:firstLine="0" w:firstLineChars="0"/>
              <w:jc w:val="center"/>
              <w:rPr>
                <w:rFonts w:hAnsi="宋体" w:cs="宋体"/>
                <w:kern w:val="0"/>
                <w:sz w:val="24"/>
              </w:rPr>
            </w:pPr>
          </w:p>
        </w:tc>
        <w:tc>
          <w:tcPr>
            <w:tcW w:w="2570" w:type="dxa"/>
            <w:gridSpan w:val="2"/>
            <w:vAlign w:val="center"/>
          </w:tcPr>
          <w:p>
            <w:pPr>
              <w:widowControl/>
              <w:spacing w:line="480" w:lineRule="exact"/>
              <w:ind w:firstLine="0" w:firstLineChars="0"/>
              <w:jc w:val="center"/>
              <w:rPr>
                <w:kern w:val="0"/>
                <w:sz w:val="24"/>
              </w:rPr>
            </w:pPr>
            <w:r>
              <w:rPr>
                <w:kern w:val="0"/>
                <w:sz w:val="24"/>
              </w:rPr>
              <w:t>0.</w:t>
            </w:r>
            <w:r>
              <w:rPr>
                <w:rFonts w:hint="eastAsia"/>
                <w:kern w:val="0"/>
                <w:sz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1741" w:type="dxa"/>
            <w:gridSpan w:val="2"/>
            <w:vMerge w:val="restart"/>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已完工程及设备保护</w:t>
            </w:r>
          </w:p>
        </w:tc>
        <w:tc>
          <w:tcPr>
            <w:tcW w:w="2080" w:type="dxa"/>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土建与轨道工程</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kern w:val="0"/>
                <w:sz w:val="24"/>
              </w:rPr>
            </w:pPr>
            <w:r>
              <w:rPr>
                <w:kern w:val="0"/>
                <w:sz w:val="24"/>
              </w:rPr>
              <w:t>0.0</w:t>
            </w:r>
            <w:r>
              <w:rPr>
                <w:rFonts w:hint="eastAsia"/>
                <w:kern w:val="0"/>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741" w:type="dxa"/>
            <w:gridSpan w:val="2"/>
            <w:vMerge w:val="continue"/>
            <w:noWrap/>
            <w:vAlign w:val="center"/>
          </w:tcPr>
          <w:p>
            <w:pPr>
              <w:widowControl/>
              <w:spacing w:line="480" w:lineRule="exact"/>
              <w:ind w:firstLine="0" w:firstLineChars="0"/>
              <w:jc w:val="center"/>
              <w:rPr>
                <w:rFonts w:hAnsi="宋体" w:cs="宋体"/>
                <w:kern w:val="0"/>
                <w:sz w:val="24"/>
              </w:rPr>
            </w:pPr>
          </w:p>
        </w:tc>
        <w:tc>
          <w:tcPr>
            <w:tcW w:w="2080" w:type="dxa"/>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安装工程</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spacing w:line="480" w:lineRule="exact"/>
              <w:ind w:firstLine="0" w:firstLineChars="0"/>
              <w:jc w:val="center"/>
              <w:rPr>
                <w:kern w:val="0"/>
                <w:sz w:val="24"/>
              </w:rPr>
            </w:pPr>
            <w:r>
              <w:rPr>
                <w:rFonts w:hint="eastAsia"/>
                <w:kern w:val="0"/>
                <w:sz w:val="24"/>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0" w:hRule="atLeast"/>
          <w:jc w:val="center"/>
        </w:trPr>
        <w:tc>
          <w:tcPr>
            <w:tcW w:w="3821" w:type="dxa"/>
            <w:gridSpan w:val="3"/>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临时设施费</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kern w:val="0"/>
                <w:sz w:val="24"/>
              </w:rPr>
            </w:pPr>
            <w:r>
              <w:rPr>
                <w:rFonts w:hint="eastAsia"/>
                <w:kern w:val="0"/>
                <w:sz w:val="24"/>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0" w:hRule="atLeast"/>
          <w:jc w:val="center"/>
        </w:trPr>
        <w:tc>
          <w:tcPr>
            <w:tcW w:w="3821" w:type="dxa"/>
            <w:gridSpan w:val="3"/>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企业检验试验费</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kern w:val="0"/>
                <w:sz w:val="24"/>
              </w:rPr>
            </w:pPr>
            <w:r>
              <w:rPr>
                <w:rFonts w:hint="eastAsia"/>
                <w:kern w:val="0"/>
                <w:sz w:val="24"/>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3821" w:type="dxa"/>
            <w:gridSpan w:val="3"/>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施工监测、监控费</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8" w:hRule="atLeast"/>
          <w:jc w:val="center"/>
        </w:trPr>
        <w:tc>
          <w:tcPr>
            <w:tcW w:w="3821" w:type="dxa"/>
            <w:gridSpan w:val="3"/>
            <w:noWrap/>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赶工费</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（提前天数／定额工期天数）×1</w:t>
            </w:r>
            <w:r>
              <w:rPr>
                <w:rFonts w:hAnsi="宋体" w:cs="宋体"/>
                <w:kern w:val="0"/>
                <w:sz w:val="24"/>
              </w:rPr>
              <w:t>.50</w:t>
            </w:r>
            <w:r>
              <w:rPr>
                <w:rFonts w:hint="eastAsia" w:hAnsi="宋体" w:cs="宋体"/>
                <w:kern w:val="0"/>
                <w:sz w:val="24"/>
              </w:rPr>
              <w:t>／</w:t>
            </w:r>
            <w:r>
              <w:rPr>
                <w:rFonts w:hAnsi="宋体" w:cs="宋体"/>
                <w:kern w:val="0"/>
                <w:sz w:val="24"/>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1470" w:type="dxa"/>
            <w:vMerge w:val="restart"/>
            <w:vAlign w:val="center"/>
          </w:tcPr>
          <w:p>
            <w:pPr>
              <w:widowControl/>
              <w:ind w:firstLine="0" w:firstLineChars="0"/>
              <w:jc w:val="center"/>
              <w:rPr>
                <w:rFonts w:hAnsi="宋体" w:cs="宋体"/>
                <w:kern w:val="0"/>
                <w:sz w:val="24"/>
              </w:rPr>
            </w:pPr>
            <w:r>
              <w:rPr>
                <w:rFonts w:hint="eastAsia" w:hAnsi="宋体" w:cs="宋体"/>
                <w:kern w:val="0"/>
                <w:sz w:val="24"/>
              </w:rPr>
              <w:t>按质论价费</w:t>
            </w:r>
          </w:p>
        </w:tc>
        <w:tc>
          <w:tcPr>
            <w:tcW w:w="2351" w:type="dxa"/>
            <w:gridSpan w:val="2"/>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市优</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kern w:val="0"/>
                <w:sz w:val="24"/>
              </w:rPr>
            </w:pPr>
            <w:r>
              <w:rPr>
                <w:rFonts w:hint="eastAsia"/>
                <w:kern w:val="0"/>
                <w:sz w:val="24"/>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1470" w:type="dxa"/>
            <w:vMerge w:val="continue"/>
            <w:vAlign w:val="center"/>
          </w:tcPr>
          <w:p>
            <w:pPr>
              <w:widowControl/>
              <w:ind w:firstLine="0" w:firstLineChars="0"/>
              <w:jc w:val="center"/>
              <w:rPr>
                <w:rFonts w:hAnsi="宋体" w:cs="宋体"/>
                <w:kern w:val="0"/>
                <w:sz w:val="24"/>
              </w:rPr>
            </w:pPr>
          </w:p>
        </w:tc>
        <w:tc>
          <w:tcPr>
            <w:tcW w:w="2351" w:type="dxa"/>
            <w:gridSpan w:val="2"/>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省优</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kern w:val="0"/>
                <w:sz w:val="24"/>
              </w:rPr>
            </w:pPr>
            <w:r>
              <w:rPr>
                <w:rFonts w:hint="eastAsia"/>
                <w:kern w:val="0"/>
                <w:sz w:val="24"/>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1470" w:type="dxa"/>
            <w:vMerge w:val="continue"/>
            <w:vAlign w:val="center"/>
          </w:tcPr>
          <w:p>
            <w:pPr>
              <w:widowControl/>
              <w:ind w:firstLine="0" w:firstLineChars="0"/>
              <w:jc w:val="center"/>
              <w:rPr>
                <w:rFonts w:hAnsi="宋体" w:cs="宋体"/>
                <w:kern w:val="0"/>
                <w:sz w:val="24"/>
              </w:rPr>
            </w:pPr>
          </w:p>
        </w:tc>
        <w:tc>
          <w:tcPr>
            <w:tcW w:w="2351" w:type="dxa"/>
            <w:gridSpan w:val="2"/>
            <w:vAlign w:val="center"/>
          </w:tcPr>
          <w:p>
            <w:pPr>
              <w:widowControl/>
              <w:spacing w:line="480" w:lineRule="exact"/>
              <w:ind w:firstLine="0" w:firstLineChars="0"/>
              <w:jc w:val="center"/>
              <w:rPr>
                <w:rFonts w:hAnsi="宋体" w:cs="宋体"/>
                <w:kern w:val="0"/>
                <w:sz w:val="24"/>
              </w:rPr>
            </w:pPr>
            <w:r>
              <w:rPr>
                <w:rFonts w:hint="eastAsia" w:hAnsi="宋体" w:cs="宋体"/>
                <w:kern w:val="0"/>
                <w:sz w:val="24"/>
              </w:rPr>
              <w:t>国优</w:t>
            </w:r>
          </w:p>
        </w:tc>
        <w:tc>
          <w:tcPr>
            <w:tcW w:w="1760" w:type="dxa"/>
            <w:vMerge w:val="continue"/>
            <w:vAlign w:val="center"/>
          </w:tcPr>
          <w:p>
            <w:pPr>
              <w:widowControl/>
              <w:ind w:firstLine="0" w:firstLineChars="0"/>
              <w:jc w:val="center"/>
              <w:rPr>
                <w:rFonts w:hAnsi="宋体" w:cs="宋体"/>
                <w:kern w:val="0"/>
                <w:sz w:val="24"/>
              </w:rPr>
            </w:pPr>
          </w:p>
        </w:tc>
        <w:tc>
          <w:tcPr>
            <w:tcW w:w="2579" w:type="dxa"/>
            <w:gridSpan w:val="3"/>
            <w:vAlign w:val="center"/>
          </w:tcPr>
          <w:p>
            <w:pPr>
              <w:widowControl/>
              <w:spacing w:line="480" w:lineRule="exact"/>
              <w:ind w:firstLine="0" w:firstLineChars="0"/>
              <w:jc w:val="center"/>
              <w:rPr>
                <w:kern w:val="0"/>
                <w:sz w:val="24"/>
              </w:rPr>
            </w:pPr>
            <w:r>
              <w:rPr>
                <w:rFonts w:hint="eastAsia"/>
                <w:kern w:val="0"/>
                <w:sz w:val="24"/>
              </w:rPr>
              <w:t>1.20</w:t>
            </w:r>
          </w:p>
        </w:tc>
      </w:tr>
    </w:tbl>
    <w:p>
      <w:pPr>
        <w:ind w:firstLine="420" w:firstLineChars="150"/>
        <w:rPr>
          <w:rFonts w:ascii="仿宋_GB2312"/>
          <w:bCs/>
          <w:sz w:val="32"/>
          <w:szCs w:val="32"/>
        </w:rPr>
      </w:pPr>
      <w:r>
        <w:rPr>
          <w:rFonts w:hint="eastAsia" w:ascii="仿宋_GB2312"/>
          <w:szCs w:val="28"/>
        </w:rPr>
        <w:t>注：安装工程不计取施工监测、监控费。</w:t>
      </w:r>
    </w:p>
    <w:p>
      <w:pPr>
        <w:widowControl/>
        <w:tabs>
          <w:tab w:val="left" w:pos="1980"/>
          <w:tab w:val="left" w:pos="7380"/>
          <w:tab w:val="left" w:pos="7560"/>
        </w:tabs>
        <w:spacing w:before="100" w:beforeAutospacing="1" w:after="100" w:afterAutospacing="1" w:line="360" w:lineRule="auto"/>
        <w:ind w:firstLine="640"/>
        <w:jc w:val="center"/>
        <w:rPr>
          <w:sz w:val="32"/>
        </w:rPr>
      </w:pPr>
    </w:p>
    <w:p>
      <w:pPr>
        <w:widowControl/>
        <w:tabs>
          <w:tab w:val="left" w:pos="1980"/>
          <w:tab w:val="left" w:pos="7380"/>
          <w:tab w:val="left" w:pos="7560"/>
        </w:tabs>
        <w:spacing w:before="100" w:beforeAutospacing="1" w:after="100" w:afterAutospacing="1" w:line="360" w:lineRule="auto"/>
        <w:ind w:firstLine="640"/>
        <w:jc w:val="center"/>
        <w:rPr>
          <w:sz w:val="32"/>
        </w:rPr>
      </w:pPr>
    </w:p>
    <w:p>
      <w:pPr>
        <w:pStyle w:val="5"/>
        <w:rPr>
          <w:rStyle w:val="29"/>
          <w:bCs/>
        </w:rPr>
      </w:pPr>
      <w:r>
        <w:br w:type="page"/>
      </w:r>
      <w:bookmarkStart w:id="1980" w:name="_Toc4635"/>
      <w:bookmarkStart w:id="1981" w:name="_Toc11156"/>
      <w:bookmarkStart w:id="1982" w:name="_Toc24051"/>
      <w:bookmarkStart w:id="1983" w:name="_Toc11160"/>
      <w:bookmarkStart w:id="1984" w:name="_Toc26398"/>
      <w:bookmarkStart w:id="1985" w:name="_Toc24537"/>
      <w:bookmarkStart w:id="1986" w:name="_Toc302"/>
      <w:bookmarkStart w:id="1987" w:name="_Toc5359"/>
      <w:r>
        <w:rPr>
          <w:rStyle w:val="29"/>
          <w:rFonts w:hint="eastAsia"/>
          <w:bCs/>
        </w:rPr>
        <w:t>苏州市工程造价管理处</w:t>
      </w:r>
      <w:bookmarkEnd w:id="1980"/>
      <w:bookmarkEnd w:id="1981"/>
      <w:bookmarkEnd w:id="1982"/>
      <w:bookmarkEnd w:id="1983"/>
      <w:bookmarkEnd w:id="1984"/>
      <w:bookmarkEnd w:id="1985"/>
      <w:bookmarkEnd w:id="1986"/>
      <w:bookmarkEnd w:id="1987"/>
    </w:p>
    <w:p>
      <w:pPr>
        <w:ind w:firstLine="560"/>
      </w:pPr>
    </w:p>
    <w:p>
      <w:pPr>
        <w:pStyle w:val="4"/>
      </w:pPr>
      <w:bookmarkStart w:id="1988" w:name="_Toc13582"/>
      <w:bookmarkStart w:id="1989" w:name="_Toc15964"/>
      <w:bookmarkStart w:id="1990" w:name="_Toc25210"/>
      <w:bookmarkStart w:id="1991" w:name="_Toc24645"/>
      <w:bookmarkStart w:id="1992" w:name="_Toc21263"/>
      <w:bookmarkStart w:id="1993" w:name="_Toc28045"/>
      <w:bookmarkStart w:id="1994" w:name="_Toc5011"/>
      <w:bookmarkStart w:id="1995" w:name="_Toc27266"/>
      <w:bookmarkStart w:id="1996" w:name="_Toc1622"/>
      <w:bookmarkStart w:id="1997" w:name="_Toc833"/>
      <w:bookmarkStart w:id="1998" w:name="_Toc28932"/>
      <w:r>
        <w:rPr>
          <w:rFonts w:hint="eastAsia"/>
        </w:rPr>
        <w:t>苏工价〔2014〕14号</w:t>
      </w:r>
      <w:bookmarkEnd w:id="1988"/>
      <w:bookmarkEnd w:id="1989"/>
      <w:bookmarkEnd w:id="1990"/>
      <w:bookmarkEnd w:id="1991"/>
      <w:bookmarkEnd w:id="1992"/>
      <w:bookmarkEnd w:id="1993"/>
      <w:bookmarkEnd w:id="1994"/>
      <w:bookmarkEnd w:id="1995"/>
      <w:bookmarkEnd w:id="1996"/>
      <w:bookmarkEnd w:id="1997"/>
      <w:bookmarkEnd w:id="1998"/>
    </w:p>
    <w:p>
      <w:pPr>
        <w:ind w:firstLine="560"/>
      </w:pPr>
      <w:r>
        <mc:AlternateContent>
          <mc:Choice Requires="wps">
            <w:drawing>
              <wp:anchor distT="0" distB="0" distL="114300" distR="114300" simplePos="0" relativeHeight="251698176" behindDoc="0" locked="0" layoutInCell="1" allowOverlap="1">
                <wp:simplePos x="0" y="0"/>
                <wp:positionH relativeFrom="column">
                  <wp:posOffset>0</wp:posOffset>
                </wp:positionH>
                <wp:positionV relativeFrom="paragraph">
                  <wp:posOffset>313055</wp:posOffset>
                </wp:positionV>
                <wp:extent cx="5791200" cy="0"/>
                <wp:effectExtent l="0" t="13970" r="0" b="24130"/>
                <wp:wrapNone/>
                <wp:docPr id="97" name="直接连接符 97"/>
                <wp:cNvGraphicFramePr/>
                <a:graphic xmlns:a="http://schemas.openxmlformats.org/drawingml/2006/main">
                  <a:graphicData uri="http://schemas.microsoft.com/office/word/2010/wordprocessingShape">
                    <wps:wsp>
                      <wps:cNvCnPr/>
                      <wps:spPr>
                        <a:xfrm>
                          <a:off x="0" y="0"/>
                          <a:ext cx="5791200" cy="0"/>
                        </a:xfrm>
                        <a:prstGeom prst="line">
                          <a:avLst/>
                        </a:prstGeom>
                        <a:ln w="28575"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0pt;margin-top:24.65pt;height:0pt;width:456pt;z-index:251698176;mso-width-relative:page;mso-height-relative:page;" filled="f" stroked="t" coordsize="21600,21600" o:gfxdata="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fi4dnUAAAABgEAAA8AAAAAAAAAAQAgAAAAIgAAAGRycy9kb3ducmV2LnhtbFBLAQIUABQAAAAI&#10;AIdO4kBVJHDw8QEAANsDAAAOAAAAAAAAAAEAIAAAACMBAABkcnMvZTJvRG9jLnhtbFBLBQYAAAAA&#10;BgAGAFkBAACGBQAAAAA=&#10;">
                <v:fill on="f" focussize="0,0"/>
                <v:stroke weight="2.25pt" color="#FF0000" joinstyle="round"/>
                <v:imagedata o:title=""/>
                <o:lock v:ext="edit" aspectratio="f"/>
              </v:line>
            </w:pict>
          </mc:Fallback>
        </mc:AlternateContent>
      </w:r>
    </w:p>
    <w:p>
      <w:pPr>
        <w:pStyle w:val="11"/>
        <w:spacing w:line="360" w:lineRule="auto"/>
        <w:ind w:firstLine="560"/>
        <w:rPr>
          <w:rFonts w:hAnsi="宋体" w:cs="宋体"/>
          <w:sz w:val="28"/>
          <w:szCs w:val="28"/>
        </w:rPr>
      </w:pPr>
    </w:p>
    <w:p>
      <w:pPr>
        <w:pStyle w:val="3"/>
      </w:pPr>
      <w:bookmarkStart w:id="1999" w:name="_Toc18449"/>
      <w:bookmarkStart w:id="2000" w:name="_Toc29206"/>
      <w:bookmarkStart w:id="2001" w:name="_Toc29238"/>
      <w:bookmarkStart w:id="2002" w:name="_Toc25150"/>
      <w:bookmarkStart w:id="2003" w:name="_Toc11725"/>
      <w:bookmarkStart w:id="2004" w:name="_Toc29041"/>
      <w:bookmarkStart w:id="2005" w:name="_Toc24096"/>
      <w:bookmarkStart w:id="2006" w:name="_Toc20640"/>
      <w:bookmarkStart w:id="2007" w:name="_Toc17474"/>
      <w:bookmarkStart w:id="2008" w:name="_Toc9156"/>
      <w:bookmarkStart w:id="2009" w:name="_Toc32115"/>
      <w:bookmarkStart w:id="2010" w:name="_Toc6561"/>
      <w:bookmarkStart w:id="2011" w:name="_Toc11245"/>
      <w:bookmarkStart w:id="2012" w:name="_Toc32273"/>
      <w:r>
        <w:rPr>
          <w:rFonts w:hint="eastAsia"/>
        </w:rPr>
        <w:t>关于印发《苏州市建设工程计价解释与争议调解实施细则》的通知</w:t>
      </w:r>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p>
    <w:p>
      <w:pPr>
        <w:pStyle w:val="11"/>
        <w:spacing w:line="360" w:lineRule="auto"/>
        <w:ind w:firstLine="560"/>
        <w:rPr>
          <w:rFonts w:hAnsi="宋体" w:cs="宋体"/>
          <w:sz w:val="28"/>
          <w:szCs w:val="28"/>
        </w:rPr>
      </w:pPr>
    </w:p>
    <w:p>
      <w:pPr>
        <w:ind w:firstLine="0" w:firstLineChars="0"/>
      </w:pPr>
      <w:r>
        <w:rPr>
          <w:rFonts w:hint="eastAsia"/>
        </w:rPr>
        <w:t>市各建设、施工、工程造价咨询单位：</w:t>
      </w:r>
    </w:p>
    <w:p>
      <w:pPr>
        <w:ind w:firstLine="560"/>
      </w:pPr>
      <w:r>
        <w:rPr>
          <w:rFonts w:hint="eastAsia"/>
        </w:rPr>
        <w:t>为规范建设工程计价解释与争议调解行为，提高建设工程计价管理工作效率，切实维护工程建设各方主体的合法权益，根据国家有关法律法规和《江苏省建设工程计价解释与争议调解规定》（苏建价〔2006〕383号文），我处制定了《苏州市建设工程计价解释与争议调解实施细则》，现印发给你们，请遵照执行。</w:t>
      </w:r>
    </w:p>
    <w:p>
      <w:pPr>
        <w:ind w:firstLine="560"/>
      </w:pPr>
    </w:p>
    <w:p>
      <w:pPr>
        <w:ind w:firstLine="560"/>
      </w:pPr>
      <w:r>
        <w:rPr>
          <w:rFonts w:hint="eastAsia"/>
        </w:rPr>
        <w:t>附件：《苏州市建设工程计价解释与争议调解实施细则》</w:t>
      </w:r>
    </w:p>
    <w:p>
      <w:pPr>
        <w:ind w:firstLine="560"/>
      </w:pPr>
    </w:p>
    <w:p>
      <w:pPr>
        <w:ind w:firstLine="560"/>
      </w:pPr>
    </w:p>
    <w:p>
      <w:pPr>
        <w:ind w:firstLine="560"/>
      </w:pPr>
      <w:r>
        <w:rPr>
          <w:rFonts w:hint="eastAsia"/>
        </w:rPr>
        <w:t xml:space="preserve">                          苏州市工程造价管理处</w:t>
      </w:r>
    </w:p>
    <w:p>
      <w:pPr>
        <w:ind w:firstLine="560"/>
      </w:pPr>
      <w:r>
        <w:rPr>
          <w:rFonts w:hint="eastAsia"/>
        </w:rPr>
        <w:t xml:space="preserve">                              2014年12月30日</w:t>
      </w:r>
    </w:p>
    <w:p>
      <w:pPr>
        <w:pStyle w:val="11"/>
        <w:spacing w:line="360" w:lineRule="auto"/>
        <w:ind w:firstLine="560"/>
        <w:rPr>
          <w:rFonts w:hAnsi="宋体" w:cs="宋体"/>
          <w:sz w:val="28"/>
          <w:szCs w:val="28"/>
        </w:rPr>
      </w:pPr>
    </w:p>
    <w:p>
      <w:pPr>
        <w:pStyle w:val="11"/>
        <w:spacing w:line="360" w:lineRule="auto"/>
        <w:ind w:firstLine="0" w:firstLineChars="0"/>
        <w:jc w:val="center"/>
        <w:rPr>
          <w:rFonts w:hAnsi="宋体" w:cs="宋体"/>
          <w:b/>
          <w:sz w:val="28"/>
          <w:szCs w:val="28"/>
        </w:rPr>
      </w:pPr>
      <w:r>
        <w:rPr>
          <w:rFonts w:hint="eastAsia" w:hAnsi="宋体" w:cs="宋体"/>
          <w:b/>
          <w:sz w:val="28"/>
          <w:szCs w:val="28"/>
        </w:rPr>
        <w:br w:type="page"/>
      </w:r>
    </w:p>
    <w:p>
      <w:pPr>
        <w:pStyle w:val="11"/>
        <w:spacing w:line="360" w:lineRule="auto"/>
        <w:ind w:firstLine="0" w:firstLineChars="0"/>
        <w:jc w:val="center"/>
        <w:rPr>
          <w:rFonts w:hAnsi="宋体" w:cs="宋体"/>
          <w:b/>
          <w:sz w:val="28"/>
          <w:szCs w:val="28"/>
        </w:rPr>
      </w:pPr>
    </w:p>
    <w:p>
      <w:pPr>
        <w:pStyle w:val="11"/>
        <w:spacing w:line="360" w:lineRule="auto"/>
        <w:ind w:firstLine="0" w:firstLineChars="0"/>
        <w:jc w:val="center"/>
        <w:rPr>
          <w:rStyle w:val="28"/>
          <w:sz w:val="36"/>
          <w:szCs w:val="36"/>
        </w:rPr>
      </w:pPr>
      <w:bookmarkStart w:id="2013" w:name="_Toc15597"/>
      <w:bookmarkStart w:id="2014" w:name="_Toc28005"/>
      <w:bookmarkStart w:id="2015" w:name="_Toc18042"/>
      <w:bookmarkStart w:id="2016" w:name="_Toc26430"/>
      <w:bookmarkStart w:id="2017" w:name="_Toc2727"/>
      <w:bookmarkStart w:id="2018" w:name="_Toc18311"/>
      <w:bookmarkStart w:id="2019" w:name="_Toc8423"/>
      <w:bookmarkStart w:id="2020" w:name="_Toc31090"/>
      <w:bookmarkStart w:id="2021" w:name="_Toc3131"/>
      <w:bookmarkStart w:id="2022" w:name="_Toc28945"/>
      <w:bookmarkStart w:id="2023" w:name="_Toc8342"/>
      <w:bookmarkStart w:id="2024" w:name="_Toc13322"/>
      <w:bookmarkStart w:id="2025" w:name="_Toc13568"/>
      <w:bookmarkStart w:id="2026" w:name="_Toc16270"/>
      <w:r>
        <w:rPr>
          <w:rStyle w:val="28"/>
          <w:rFonts w:hint="eastAsia"/>
          <w:sz w:val="36"/>
          <w:szCs w:val="36"/>
        </w:rPr>
        <w:t>苏州市建设工程计价解释与争议调解实施细则</w:t>
      </w:r>
    </w:p>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Pr>
        <w:pStyle w:val="11"/>
        <w:spacing w:line="360" w:lineRule="auto"/>
        <w:ind w:firstLine="562"/>
        <w:jc w:val="center"/>
        <w:rPr>
          <w:rFonts w:hAnsi="宋体" w:cs="宋体"/>
          <w:b/>
          <w:sz w:val="28"/>
          <w:szCs w:val="28"/>
        </w:rPr>
      </w:pPr>
    </w:p>
    <w:p>
      <w:pPr>
        <w:spacing w:before="240" w:beforeLines="100" w:after="240" w:afterLines="100"/>
        <w:ind w:firstLine="0" w:firstLineChars="0"/>
        <w:jc w:val="center"/>
        <w:rPr>
          <w:rFonts w:ascii="方正黑体简体" w:hAnsi="方正黑体简体" w:eastAsia="方正黑体简体" w:cs="方正黑体简体"/>
        </w:rPr>
      </w:pPr>
      <w:r>
        <w:rPr>
          <w:rFonts w:hint="eastAsia" w:ascii="方正黑体简体" w:hAnsi="方正黑体简体" w:eastAsia="方正黑体简体" w:cs="方正黑体简体"/>
        </w:rPr>
        <w:t>第一章  总 则</w:t>
      </w:r>
    </w:p>
    <w:p>
      <w:pPr>
        <w:ind w:firstLine="562"/>
      </w:pPr>
      <w:r>
        <w:rPr>
          <w:rFonts w:hint="eastAsia"/>
          <w:b/>
          <w:bCs/>
        </w:rPr>
        <w:t>第一条</w:t>
      </w:r>
      <w:r>
        <w:rPr>
          <w:rFonts w:hint="eastAsia"/>
        </w:rPr>
        <w:t xml:space="preserve"> 为规范建设工程计价解释与争议调解行为，建立和完善计价解释与争议调解制度，提高我市建设工程计价管理工作效率，切实维护工程建设各方主体的合法权益，根据国家有关法律法规和《江苏省建设工程计价解释与争议调解规定》（苏建价〔2006〕383号文），特制定本实施细则。</w:t>
      </w:r>
    </w:p>
    <w:p>
      <w:pPr>
        <w:ind w:firstLine="562"/>
      </w:pPr>
      <w:r>
        <w:rPr>
          <w:rFonts w:hint="eastAsia"/>
          <w:b/>
          <w:bCs/>
        </w:rPr>
        <w:t>第二条</w:t>
      </w:r>
      <w:r>
        <w:rPr>
          <w:rFonts w:hint="eastAsia"/>
        </w:rPr>
        <w:t xml:space="preserve">  本细则适用于建筑、装饰装修、安装、市政、园林绿化、房屋修缮、仿古建筑、城市轨道交通工程的计价解释及争议调解工作。</w:t>
      </w:r>
    </w:p>
    <w:p>
      <w:pPr>
        <w:ind w:firstLine="562"/>
      </w:pPr>
      <w:r>
        <w:rPr>
          <w:rFonts w:hint="eastAsia"/>
          <w:b/>
          <w:bCs/>
        </w:rPr>
        <w:t>第三条</w:t>
      </w:r>
      <w:r>
        <w:rPr>
          <w:rFonts w:hint="eastAsia"/>
        </w:rPr>
        <w:t xml:space="preserve">  计价解释和争议调解应当严格遵守国家法律、法规和我省计价依据，坚持客观公正的原则。</w:t>
      </w:r>
    </w:p>
    <w:p>
      <w:pPr>
        <w:ind w:firstLine="562"/>
      </w:pPr>
      <w:r>
        <w:rPr>
          <w:rFonts w:hint="eastAsia"/>
          <w:b/>
          <w:bCs/>
        </w:rPr>
        <w:t>第四条</w:t>
      </w:r>
      <w:r>
        <w:rPr>
          <w:rFonts w:hint="eastAsia"/>
        </w:rPr>
        <w:t xml:space="preserve">  市工程造价管理处（以下简称“造价处”）受市住房和城乡建设局委托，负责全市建设工程计价解释与争议调解工作。</w:t>
      </w:r>
    </w:p>
    <w:p>
      <w:pPr>
        <w:ind w:firstLine="562"/>
      </w:pPr>
      <w:r>
        <w:rPr>
          <w:rFonts w:hint="eastAsia"/>
          <w:b/>
          <w:bCs/>
        </w:rPr>
        <w:t>第五条</w:t>
      </w:r>
      <w:r>
        <w:rPr>
          <w:rFonts w:hint="eastAsia"/>
        </w:rPr>
        <w:t xml:space="preserve">  计价解释与争议调解实行属地管理制度，各县（市）造价管理机构受所在地建设行政主管部门委托，负责本地区建设工程项目的计价解释与争议调解的相关管理工作。各县（市）造价管理机构难于答复或工程建设当事人对答复有异议时，报送市工程造价管理处处理。</w:t>
      </w:r>
    </w:p>
    <w:p>
      <w:pPr>
        <w:spacing w:before="240" w:beforeLines="100" w:after="240" w:afterLines="100"/>
        <w:ind w:firstLine="0" w:firstLineChars="0"/>
        <w:jc w:val="center"/>
        <w:rPr>
          <w:rFonts w:ascii="方正黑体简体" w:hAnsi="方正黑体简体" w:eastAsia="方正黑体简体" w:cs="方正黑体简体"/>
        </w:rPr>
      </w:pPr>
      <w:r>
        <w:rPr>
          <w:rFonts w:hint="eastAsia" w:ascii="方正黑体简体" w:hAnsi="方正黑体简体" w:eastAsia="方正黑体简体" w:cs="方正黑体简体"/>
        </w:rPr>
        <w:t>第二章  计价解释</w:t>
      </w:r>
    </w:p>
    <w:p>
      <w:pPr>
        <w:ind w:firstLine="562"/>
      </w:pPr>
      <w:r>
        <w:rPr>
          <w:rFonts w:hint="eastAsia"/>
          <w:b/>
          <w:bCs/>
        </w:rPr>
        <w:t>第六条</w:t>
      </w:r>
      <w:r>
        <w:rPr>
          <w:rFonts w:hint="eastAsia"/>
        </w:rPr>
        <w:t xml:space="preserve">  因工程计价对专业技术要求高，计价解释仅针对具有有效从业证书的工程造价从业人员（造价师或江苏省造价员，以下简称持证人员）。</w:t>
      </w:r>
    </w:p>
    <w:p>
      <w:pPr>
        <w:ind w:firstLine="562"/>
      </w:pPr>
      <w:r>
        <w:rPr>
          <w:rFonts w:hint="eastAsia"/>
          <w:b/>
          <w:bCs/>
        </w:rPr>
        <w:t>第七条</w:t>
      </w:r>
      <w:r>
        <w:rPr>
          <w:rFonts w:hint="eastAsia"/>
        </w:rPr>
        <w:t xml:space="preserve">  计价解释仅限于工程计价定额与工程计价相关管理文件。</w:t>
      </w:r>
    </w:p>
    <w:p>
      <w:pPr>
        <w:ind w:firstLine="562"/>
      </w:pPr>
      <w:r>
        <w:rPr>
          <w:rFonts w:hint="eastAsia"/>
          <w:b/>
          <w:bCs/>
        </w:rPr>
        <w:t>第八条</w:t>
      </w:r>
      <w:r>
        <w:rPr>
          <w:rFonts w:hint="eastAsia"/>
        </w:rPr>
        <w:t xml:space="preserve">  计价解释政策性强，牵涉面广，电话解答具有局限性，因此不接受电话咨询，所有计价咨询在苏州市住房和城乡建设局网上平台（网址：http://www.szjs.net建议咨询栏目）受理，由造价处定额科按专业解答。</w:t>
      </w:r>
    </w:p>
    <w:p>
      <w:pPr>
        <w:ind w:firstLine="562"/>
      </w:pPr>
      <w:r>
        <w:rPr>
          <w:rFonts w:hint="eastAsia"/>
          <w:b/>
          <w:bCs/>
        </w:rPr>
        <w:t>第九条</w:t>
      </w:r>
      <w:r>
        <w:rPr>
          <w:rFonts w:hint="eastAsia"/>
        </w:rPr>
        <w:t xml:space="preserve">  计价咨询采用实名制，在网上平台“姓名”一栏中按如下格式：“姓名@从业资格证号@从业单位”输入信息（例：张三@苏140F12345@苏州XX造价咨询公司）（姓名栏必须按上述格式完整填写），其他信息按指定要求填写。</w:t>
      </w:r>
    </w:p>
    <w:p>
      <w:pPr>
        <w:ind w:firstLine="562"/>
      </w:pPr>
      <w:r>
        <w:rPr>
          <w:rFonts w:hint="eastAsia"/>
          <w:b/>
          <w:bCs/>
        </w:rPr>
        <w:t>第十条</w:t>
      </w:r>
      <w:r>
        <w:rPr>
          <w:rFonts w:hint="eastAsia"/>
        </w:rPr>
        <w:t xml:space="preserve">  对于国家、省、市颁发的建设工程计价标准、规范、相关工程造价文件和各专业工程计价定额等计价依据已说明清楚的，或超出建设工程计价解释范围的问题，可以不予答复。</w:t>
      </w:r>
    </w:p>
    <w:p>
      <w:pPr>
        <w:ind w:firstLine="562"/>
      </w:pPr>
      <w:r>
        <w:rPr>
          <w:rFonts w:hint="eastAsia"/>
          <w:b/>
          <w:bCs/>
        </w:rPr>
        <w:t>第十一条</w:t>
      </w:r>
      <w:r>
        <w:rPr>
          <w:rFonts w:hint="eastAsia"/>
        </w:rPr>
        <w:t xml:space="preserve">  对于计价定额、现行计价文件的理解容易出现歧义的，或规定不明确的，由造价处定额科专业人员在5个工作日内答复。</w:t>
      </w:r>
    </w:p>
    <w:p>
      <w:pPr>
        <w:ind w:firstLine="562"/>
      </w:pPr>
      <w:r>
        <w:rPr>
          <w:rFonts w:hint="eastAsia"/>
          <w:b/>
          <w:bCs/>
        </w:rPr>
        <w:t>第十二条</w:t>
      </w:r>
      <w:r>
        <w:rPr>
          <w:rFonts w:hint="eastAsia"/>
        </w:rPr>
        <w:t xml:space="preserve">  对于特殊或疑难问题，计价解释人员应到施工现场了解相关情况，组织专业人员（或专家）讨论后再作出答复。</w:t>
      </w:r>
    </w:p>
    <w:p>
      <w:pPr>
        <w:ind w:firstLine="562"/>
      </w:pPr>
      <w:r>
        <w:rPr>
          <w:rFonts w:hint="eastAsia"/>
          <w:b/>
          <w:bCs/>
        </w:rPr>
        <w:t>第十三条</w:t>
      </w:r>
      <w:r>
        <w:rPr>
          <w:rFonts w:hint="eastAsia"/>
        </w:rPr>
        <w:t xml:space="preserve">  对于采用新材料、新技术、新工艺，需编制一次性补充定额的项目，发承包双方必须于项目施工前向造价处提出申请，在造价处的指导下进行数据测算工作；其测算资料及数据必须经发承包双方共同盖章认可，报造价处审核后补充一次性定额。</w:t>
      </w:r>
    </w:p>
    <w:p>
      <w:pPr>
        <w:spacing w:before="240" w:beforeLines="100" w:after="240" w:afterLines="100"/>
        <w:ind w:firstLine="0" w:firstLineChars="0"/>
        <w:jc w:val="center"/>
        <w:rPr>
          <w:rFonts w:ascii="方正黑体简体" w:hAnsi="方正黑体简体" w:eastAsia="方正黑体简体" w:cs="方正黑体简体"/>
        </w:rPr>
      </w:pPr>
      <w:r>
        <w:rPr>
          <w:rFonts w:hint="eastAsia" w:ascii="方正黑体简体" w:hAnsi="方正黑体简体" w:eastAsia="方正黑体简体" w:cs="方正黑体简体"/>
        </w:rPr>
        <w:t>第三章  计价争议调解</w:t>
      </w:r>
    </w:p>
    <w:p>
      <w:pPr>
        <w:ind w:firstLine="562"/>
      </w:pPr>
      <w:r>
        <w:rPr>
          <w:rFonts w:hint="eastAsia"/>
          <w:b/>
          <w:bCs/>
        </w:rPr>
        <w:t>第十四条</w:t>
      </w:r>
      <w:r>
        <w:rPr>
          <w:rFonts w:hint="eastAsia"/>
        </w:rPr>
        <w:t xml:space="preserve">  工程建设各方主体均可提出计价争议调解申请，但争议各方应当自愿并同意由造价处进行调解。</w:t>
      </w:r>
    </w:p>
    <w:p>
      <w:pPr>
        <w:ind w:firstLine="562"/>
      </w:pPr>
      <w:r>
        <w:rPr>
          <w:rFonts w:hint="eastAsia"/>
          <w:b/>
          <w:bCs/>
        </w:rPr>
        <w:t>第十五条</w:t>
      </w:r>
      <w:r>
        <w:rPr>
          <w:rFonts w:hint="eastAsia"/>
        </w:rPr>
        <w:t xml:space="preserve"> </w:t>
      </w:r>
      <w:r>
        <w:t xml:space="preserve"> </w:t>
      </w:r>
      <w:r>
        <w:rPr>
          <w:rFonts w:hint="eastAsia"/>
        </w:rPr>
        <w:t>计价争议调解实行预约制，预约电话（建筑与装饰65185030；市政、安装65183950）。争议各方当事人应提前约定争议调解的时间，并且按照约定的时间准时参加争议调解活动。</w:t>
      </w:r>
    </w:p>
    <w:p>
      <w:pPr>
        <w:ind w:firstLine="562"/>
      </w:pPr>
      <w:r>
        <w:rPr>
          <w:rFonts w:hint="eastAsia"/>
          <w:b/>
          <w:bCs/>
        </w:rPr>
        <w:t>第十六条</w:t>
      </w:r>
      <w:r>
        <w:rPr>
          <w:rFonts w:hint="eastAsia"/>
        </w:rPr>
        <w:t xml:space="preserve">  计价争议各方应按规定的</w:t>
      </w:r>
      <w:r>
        <w:t>格式</w:t>
      </w:r>
      <w:r>
        <w:rPr>
          <w:rFonts w:hint="eastAsia"/>
        </w:rPr>
        <w:t>填写计价争议调解单（详见附件一），写明争议的事项和各自的意见，对该项目进行审核（计）的单位，也应写上对争议的处理意见，以上单位均需加盖公章，如是造价咨询单位还需技术负责人签字。争议各方及审核（计）单位在调解中应明确一名持证人员担任本方的调解代理人；如其中一方无持证人员的，可委托其他持证人员作为调解代理人。</w:t>
      </w:r>
    </w:p>
    <w:p>
      <w:pPr>
        <w:ind w:firstLine="562"/>
      </w:pPr>
      <w:r>
        <w:rPr>
          <w:rFonts w:hint="eastAsia"/>
          <w:b/>
          <w:bCs/>
        </w:rPr>
        <w:t>第十七条</w:t>
      </w:r>
      <w:r>
        <w:rPr>
          <w:rFonts w:hint="eastAsia"/>
        </w:rPr>
        <w:t xml:space="preserve">  申请计价争议调解应提供下述资料：</w:t>
      </w:r>
    </w:p>
    <w:p>
      <w:pPr>
        <w:ind w:firstLine="560"/>
      </w:pPr>
      <w:r>
        <w:rPr>
          <w:rFonts w:hint="eastAsia"/>
        </w:rPr>
        <w:t>1、争议各方当事人联合盖章的计价争议调解单；</w:t>
      </w:r>
    </w:p>
    <w:p>
      <w:pPr>
        <w:ind w:firstLine="560"/>
      </w:pPr>
      <w:r>
        <w:rPr>
          <w:rFonts w:hint="eastAsia"/>
        </w:rPr>
        <w:t>2、参加争议调解代理人员的造价师证（或江苏省颁发的造价员证）；</w:t>
      </w:r>
    </w:p>
    <w:p>
      <w:pPr>
        <w:ind w:firstLine="560"/>
      </w:pPr>
      <w:r>
        <w:rPr>
          <w:rFonts w:hint="eastAsia"/>
        </w:rPr>
        <w:t>3、经备案的建设工程施工合同、补充协议；</w:t>
      </w:r>
    </w:p>
    <w:p>
      <w:pPr>
        <w:ind w:firstLine="560"/>
      </w:pPr>
      <w:r>
        <w:rPr>
          <w:rFonts w:hint="eastAsia"/>
        </w:rPr>
        <w:t>4、招投标文件、答疑，施工图、施工组织设计或专项施工方案以及其他有关技术经济文件；</w:t>
      </w:r>
    </w:p>
    <w:p>
      <w:pPr>
        <w:ind w:firstLine="560"/>
      </w:pPr>
      <w:r>
        <w:rPr>
          <w:rFonts w:hint="eastAsia"/>
        </w:rPr>
        <w:t>5、设计变更、索赔、现场签证资料；</w:t>
      </w:r>
    </w:p>
    <w:p>
      <w:pPr>
        <w:ind w:firstLine="560"/>
      </w:pPr>
      <w:r>
        <w:rPr>
          <w:rFonts w:hint="eastAsia"/>
        </w:rPr>
        <w:t>6、与计价争议调解有关的其它资料。</w:t>
      </w:r>
    </w:p>
    <w:p>
      <w:pPr>
        <w:ind w:firstLine="560"/>
      </w:pPr>
      <w:r>
        <w:rPr>
          <w:rFonts w:hint="eastAsia"/>
        </w:rPr>
        <w:t>资料提供人应对所提供资料的真实有效性负责。调解单和造价师证（或江苏省颁发的造价员证）为必须提交资料，其他资料可以根据计价争议的具体内容选择性提交。</w:t>
      </w:r>
    </w:p>
    <w:p>
      <w:pPr>
        <w:ind w:firstLine="562"/>
      </w:pPr>
      <w:r>
        <w:rPr>
          <w:rFonts w:hint="eastAsia"/>
          <w:b/>
          <w:bCs/>
        </w:rPr>
        <w:t>第十八条</w:t>
      </w:r>
      <w:r>
        <w:rPr>
          <w:rFonts w:hint="eastAsia"/>
        </w:rPr>
        <w:t xml:space="preserve">  有下列情况之一的计价争议调解申请，市造价处不予受理：</w:t>
      </w:r>
    </w:p>
    <w:p>
      <w:pPr>
        <w:ind w:firstLine="560"/>
      </w:pPr>
      <w:r>
        <w:rPr>
          <w:rFonts w:hint="eastAsia"/>
        </w:rPr>
        <w:t>1、争议工程所在地不在我市行政区域内的；工程在常熟、张家港、昆山、太仓、吴江，未经当地造价管理机构先行调解的；</w:t>
      </w:r>
    </w:p>
    <w:p>
      <w:pPr>
        <w:ind w:firstLine="560"/>
      </w:pPr>
      <w:r>
        <w:rPr>
          <w:rFonts w:hint="eastAsia"/>
        </w:rPr>
        <w:t>2、未按上述规定提供资料的；</w:t>
      </w:r>
    </w:p>
    <w:p>
      <w:pPr>
        <w:ind w:firstLine="560"/>
      </w:pPr>
      <w:r>
        <w:rPr>
          <w:rFonts w:hint="eastAsia"/>
        </w:rPr>
        <w:t>3、造价管理机构已作出计价争议调解决定，并且争议调解的申请人未再提出新的证据；</w:t>
      </w:r>
    </w:p>
    <w:p>
      <w:pPr>
        <w:ind w:firstLine="560"/>
      </w:pPr>
      <w:r>
        <w:rPr>
          <w:rFonts w:hint="eastAsia"/>
        </w:rPr>
        <w:t>4、上级造价管理机构已作出计价争议调解决定的；</w:t>
      </w:r>
    </w:p>
    <w:p>
      <w:pPr>
        <w:ind w:firstLine="560"/>
      </w:pPr>
      <w:r>
        <w:rPr>
          <w:rFonts w:hint="eastAsia"/>
        </w:rPr>
        <w:t>5、已向仲裁机构申请仲裁的；</w:t>
      </w:r>
    </w:p>
    <w:p>
      <w:pPr>
        <w:ind w:firstLine="560"/>
      </w:pPr>
      <w:r>
        <w:rPr>
          <w:rFonts w:hint="eastAsia"/>
        </w:rPr>
        <w:t>6、已向人民法院提请诉讼的。</w:t>
      </w:r>
    </w:p>
    <w:p>
      <w:pPr>
        <w:ind w:firstLine="562"/>
      </w:pPr>
      <w:r>
        <w:rPr>
          <w:rFonts w:hint="eastAsia"/>
          <w:b/>
          <w:bCs/>
        </w:rPr>
        <w:t>第十九条</w:t>
      </w:r>
      <w:r>
        <w:rPr>
          <w:rFonts w:hint="eastAsia"/>
        </w:rPr>
        <w:t xml:space="preserve">  根据争议的内容，造价处指定相关专业人员为争议调解人。争议各方在约定的时间、地点参加调解活动，争议调解人应仔细听取各方当事人的陈述，认真查看申请人提供的资料，核实有关情况。</w:t>
      </w:r>
    </w:p>
    <w:p>
      <w:pPr>
        <w:ind w:firstLine="560"/>
      </w:pPr>
      <w:r>
        <w:rPr>
          <w:rFonts w:hint="eastAsia"/>
        </w:rPr>
        <w:t>对于简单的争议问题由争议调解人当场口头调解；对于较复杂的争议问题，由定额科商讨后提出初步意见，报分管领导审核后7个工作日内（特殊工程除外）作出书面调解意见；各方当事人对调解意见无异议的，应在调解单上签字认可。造价处将争议调解有关资料登记归档，部分资料复印留存。</w:t>
      </w:r>
    </w:p>
    <w:p>
      <w:pPr>
        <w:ind w:firstLine="560"/>
      </w:pPr>
      <w:r>
        <w:rPr>
          <w:rFonts w:hint="eastAsia"/>
        </w:rPr>
        <w:t>经协调各方当事人对调解仍不能达成一致意见时，可根据合同约定提请仲裁或诉讼。</w:t>
      </w:r>
    </w:p>
    <w:p>
      <w:pPr>
        <w:ind w:firstLine="562"/>
      </w:pPr>
      <w:r>
        <w:rPr>
          <w:rFonts w:hint="eastAsia"/>
          <w:b/>
          <w:bCs/>
        </w:rPr>
        <w:t>第二十条</w:t>
      </w:r>
      <w:r>
        <w:rPr>
          <w:rFonts w:hint="eastAsia"/>
        </w:rPr>
        <w:t xml:space="preserve">  造价处将计价解释答复、计价争议调解意见不定期在《苏州工程造价信息》杂志上发布；对于共性的、有代表性的问题进行归纳总结，报处领导审核，正式行文发布。</w:t>
      </w:r>
    </w:p>
    <w:p>
      <w:pPr>
        <w:spacing w:before="240" w:beforeLines="100" w:after="240" w:afterLines="100"/>
        <w:ind w:firstLine="0" w:firstLineChars="0"/>
        <w:jc w:val="center"/>
        <w:rPr>
          <w:rFonts w:ascii="方正黑体简体" w:hAnsi="方正黑体简体" w:eastAsia="方正黑体简体" w:cs="方正黑体简体"/>
        </w:rPr>
      </w:pPr>
      <w:r>
        <w:rPr>
          <w:rFonts w:hint="eastAsia" w:ascii="方正黑体简体" w:hAnsi="方正黑体简体" w:eastAsia="方正黑体简体" w:cs="方正黑体简体"/>
        </w:rPr>
        <w:t>第四章  附 则</w:t>
      </w:r>
    </w:p>
    <w:p>
      <w:pPr>
        <w:ind w:firstLine="562"/>
      </w:pPr>
      <w:r>
        <w:rPr>
          <w:rFonts w:hint="eastAsia"/>
          <w:b/>
          <w:bCs/>
        </w:rPr>
        <w:t>第二十一条</w:t>
      </w:r>
      <w:r>
        <w:rPr>
          <w:rFonts w:hint="eastAsia"/>
        </w:rPr>
        <w:t xml:space="preserve">  对履行职责过程中存在滥用职权、故意偏袒、弄虚作假、敷衍塞责等行为，造成工程建设各方主体合法权益受到损害或造成不良社会影响的责任人员，造价处按照有关规定和管理权限，及时追究，严肃处理。</w:t>
      </w:r>
    </w:p>
    <w:p>
      <w:pPr>
        <w:ind w:firstLine="562"/>
      </w:pPr>
      <w:r>
        <w:rPr>
          <w:rFonts w:hint="eastAsia"/>
          <w:b/>
          <w:bCs/>
        </w:rPr>
        <w:t>第二十二条</w:t>
      </w:r>
      <w:r>
        <w:rPr>
          <w:rFonts w:hint="eastAsia"/>
        </w:rPr>
        <w:t xml:space="preserve">  苏州各县（市）造价管理机构参照以上办法，结合本地区实际情况制定实施细则。</w:t>
      </w:r>
    </w:p>
    <w:p>
      <w:pPr>
        <w:ind w:firstLine="562"/>
      </w:pPr>
      <w:r>
        <w:rPr>
          <w:rFonts w:hint="eastAsia"/>
          <w:b/>
          <w:bCs/>
        </w:rPr>
        <w:t>第二十三条</w:t>
      </w:r>
      <w:r>
        <w:rPr>
          <w:rFonts w:hint="eastAsia"/>
        </w:rPr>
        <w:t>　本细则由苏州市工程造价管理处负责解释。</w:t>
      </w:r>
    </w:p>
    <w:p>
      <w:pPr>
        <w:ind w:firstLine="562"/>
        <w:sectPr>
          <w:footerReference r:id="rId23" w:type="default"/>
          <w:pgSz w:w="12240" w:h="15840"/>
          <w:pgMar w:top="1440" w:right="1800" w:bottom="1440" w:left="1800" w:header="720" w:footer="720" w:gutter="0"/>
          <w:pgNumType w:fmt="decimal"/>
          <w:cols w:space="720" w:num="1"/>
        </w:sectPr>
      </w:pPr>
      <w:r>
        <w:rPr>
          <w:rFonts w:hint="eastAsia"/>
          <w:b/>
          <w:bCs/>
        </w:rPr>
        <w:t>第二十四条</w:t>
      </w:r>
      <w:r>
        <w:rPr>
          <w:rFonts w:hint="eastAsia"/>
        </w:rPr>
        <w:t>　本细则自2015年1月1日起施行。</w:t>
      </w:r>
    </w:p>
    <w:tbl>
      <w:tblPr>
        <w:tblStyle w:val="22"/>
        <w:tblW w:w="13426" w:type="dxa"/>
        <w:tblInd w:w="94" w:type="dxa"/>
        <w:tblLayout w:type="fixed"/>
        <w:tblCellMar>
          <w:top w:w="0" w:type="dxa"/>
          <w:left w:w="108" w:type="dxa"/>
          <w:bottom w:w="0" w:type="dxa"/>
          <w:right w:w="108" w:type="dxa"/>
        </w:tblCellMar>
      </w:tblPr>
      <w:tblGrid>
        <w:gridCol w:w="1180"/>
        <w:gridCol w:w="955"/>
        <w:gridCol w:w="795"/>
        <w:gridCol w:w="1262"/>
        <w:gridCol w:w="1216"/>
        <w:gridCol w:w="841"/>
        <w:gridCol w:w="179"/>
        <w:gridCol w:w="875"/>
        <w:gridCol w:w="1458"/>
        <w:gridCol w:w="573"/>
        <w:gridCol w:w="593"/>
        <w:gridCol w:w="1021"/>
        <w:gridCol w:w="874"/>
        <w:gridCol w:w="1604"/>
      </w:tblGrid>
      <w:tr>
        <w:tblPrEx>
          <w:tblCellMar>
            <w:top w:w="0" w:type="dxa"/>
            <w:left w:w="108" w:type="dxa"/>
            <w:bottom w:w="0" w:type="dxa"/>
            <w:right w:w="108" w:type="dxa"/>
          </w:tblCellMar>
        </w:tblPrEx>
        <w:trPr>
          <w:trHeight w:val="528" w:hRule="atLeast"/>
        </w:trPr>
        <w:tc>
          <w:tcPr>
            <w:tcW w:w="13426" w:type="dxa"/>
            <w:gridSpan w:val="14"/>
            <w:tcBorders>
              <w:top w:val="nil"/>
              <w:left w:val="nil"/>
              <w:bottom w:val="single" w:color="auto" w:sz="8" w:space="0"/>
              <w:right w:val="nil"/>
            </w:tcBorders>
            <w:noWrap/>
            <w:vAlign w:val="center"/>
          </w:tcPr>
          <w:p>
            <w:pPr>
              <w:widowControl/>
              <w:ind w:firstLine="0" w:firstLineChars="0"/>
              <w:jc w:val="left"/>
              <w:rPr>
                <w:rFonts w:ascii="Courier New" w:hAnsi="Courier New" w:cs="Courier New"/>
                <w:kern w:val="0"/>
                <w:sz w:val="36"/>
                <w:szCs w:val="36"/>
              </w:rPr>
            </w:pPr>
            <w:r>
              <w:rPr>
                <w:rFonts w:hint="eastAsia" w:ascii="宋体" w:hAnsi="宋体" w:cs="Courier New"/>
                <w:kern w:val="0"/>
                <w:sz w:val="24"/>
              </w:rPr>
              <w:t>附件一</w:t>
            </w:r>
            <w:r>
              <w:rPr>
                <w:rFonts w:hint="eastAsia" w:ascii="宋体" w:hAnsi="宋体" w:cs="Courier New"/>
                <w:kern w:val="0"/>
                <w:sz w:val="36"/>
                <w:szCs w:val="36"/>
              </w:rPr>
              <w:t xml:space="preserve">                      计价争议调解单</w:t>
            </w:r>
          </w:p>
        </w:tc>
      </w:tr>
      <w:tr>
        <w:tblPrEx>
          <w:tblCellMar>
            <w:top w:w="0" w:type="dxa"/>
            <w:left w:w="108" w:type="dxa"/>
            <w:bottom w:w="0" w:type="dxa"/>
            <w:right w:w="108" w:type="dxa"/>
          </w:tblCellMar>
        </w:tblPrEx>
        <w:trPr>
          <w:trHeight w:val="319" w:hRule="atLeast"/>
        </w:trPr>
        <w:tc>
          <w:tcPr>
            <w:tcW w:w="1180" w:type="dxa"/>
            <w:tcBorders>
              <w:top w:val="nil"/>
              <w:left w:val="single" w:color="auto" w:sz="8" w:space="0"/>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项目名称</w:t>
            </w:r>
          </w:p>
        </w:tc>
        <w:tc>
          <w:tcPr>
            <w:tcW w:w="5069" w:type="dxa"/>
            <w:gridSpan w:val="5"/>
            <w:tcBorders>
              <w:top w:val="single" w:color="auto" w:sz="8" w:space="0"/>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c>
          <w:tcPr>
            <w:tcW w:w="3085" w:type="dxa"/>
            <w:gridSpan w:val="4"/>
            <w:tcBorders>
              <w:top w:val="single" w:color="auto" w:sz="8" w:space="0"/>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联系人及电话</w:t>
            </w:r>
          </w:p>
        </w:tc>
        <w:tc>
          <w:tcPr>
            <w:tcW w:w="4092" w:type="dxa"/>
            <w:gridSpan w:val="4"/>
            <w:tcBorders>
              <w:top w:val="single" w:color="auto" w:sz="8" w:space="0"/>
              <w:left w:val="nil"/>
              <w:bottom w:val="single" w:color="auto" w:sz="4" w:space="0"/>
              <w:right w:val="single" w:color="000000" w:sz="8"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r>
      <w:tr>
        <w:tblPrEx>
          <w:tblCellMar>
            <w:top w:w="0" w:type="dxa"/>
            <w:left w:w="108" w:type="dxa"/>
            <w:bottom w:w="0" w:type="dxa"/>
            <w:right w:w="108" w:type="dxa"/>
          </w:tblCellMar>
        </w:tblPrEx>
        <w:trPr>
          <w:trHeight w:val="588" w:hRule="atLeast"/>
        </w:trPr>
        <w:tc>
          <w:tcPr>
            <w:tcW w:w="1180" w:type="dxa"/>
            <w:tcBorders>
              <w:top w:val="nil"/>
              <w:left w:val="single" w:color="auto" w:sz="8" w:space="0"/>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争议问题</w:t>
            </w:r>
          </w:p>
        </w:tc>
        <w:tc>
          <w:tcPr>
            <w:tcW w:w="12246" w:type="dxa"/>
            <w:gridSpan w:val="13"/>
            <w:tcBorders>
              <w:top w:val="single" w:color="auto" w:sz="4" w:space="0"/>
              <w:left w:val="nil"/>
              <w:bottom w:val="single" w:color="auto" w:sz="4" w:space="0"/>
              <w:right w:val="single" w:color="000000" w:sz="8"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r>
      <w:tr>
        <w:tblPrEx>
          <w:tblCellMar>
            <w:top w:w="0" w:type="dxa"/>
            <w:left w:w="108" w:type="dxa"/>
            <w:bottom w:w="0" w:type="dxa"/>
            <w:right w:w="108" w:type="dxa"/>
          </w:tblCellMar>
        </w:tblPrEx>
        <w:trPr>
          <w:trHeight w:val="553" w:hRule="atLeast"/>
        </w:trPr>
        <w:tc>
          <w:tcPr>
            <w:tcW w:w="4192" w:type="dxa"/>
            <w:gridSpan w:val="4"/>
            <w:tcBorders>
              <w:top w:val="single" w:color="auto" w:sz="4" w:space="0"/>
              <w:left w:val="single" w:color="auto" w:sz="8" w:space="0"/>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建设单位意见</w:t>
            </w:r>
          </w:p>
        </w:tc>
        <w:tc>
          <w:tcPr>
            <w:tcW w:w="4569" w:type="dxa"/>
            <w:gridSpan w:val="5"/>
            <w:tcBorders>
              <w:top w:val="single" w:color="auto" w:sz="4" w:space="0"/>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施工单位意见</w:t>
            </w:r>
          </w:p>
        </w:tc>
        <w:tc>
          <w:tcPr>
            <w:tcW w:w="4665" w:type="dxa"/>
            <w:gridSpan w:val="5"/>
            <w:tcBorders>
              <w:top w:val="single" w:color="auto" w:sz="4" w:space="0"/>
              <w:left w:val="nil"/>
              <w:bottom w:val="single" w:color="auto" w:sz="4" w:space="0"/>
              <w:right w:val="single" w:color="000000" w:sz="8"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审核（计）单位意见</w:t>
            </w:r>
          </w:p>
        </w:tc>
      </w:tr>
      <w:tr>
        <w:trPr>
          <w:trHeight w:val="577" w:hRule="atLeast"/>
        </w:trPr>
        <w:tc>
          <w:tcPr>
            <w:tcW w:w="1180" w:type="dxa"/>
            <w:tcBorders>
              <w:top w:val="nil"/>
              <w:left w:val="single" w:color="auto" w:sz="8" w:space="0"/>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调解代理人姓名</w:t>
            </w:r>
          </w:p>
        </w:tc>
        <w:tc>
          <w:tcPr>
            <w:tcW w:w="955"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c>
          <w:tcPr>
            <w:tcW w:w="795"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资格</w:t>
            </w:r>
          </w:p>
          <w:p>
            <w:pPr>
              <w:widowControl/>
              <w:ind w:firstLine="0" w:firstLineChars="0"/>
              <w:jc w:val="center"/>
              <w:rPr>
                <w:rFonts w:ascii="宋体" w:hAnsi="宋体" w:cs="宋体"/>
                <w:kern w:val="0"/>
                <w:sz w:val="24"/>
                <w:szCs w:val="24"/>
              </w:rPr>
            </w:pPr>
            <w:r>
              <w:rPr>
                <w:rFonts w:hint="eastAsia" w:ascii="宋体" w:hAnsi="宋体" w:cs="宋体"/>
                <w:kern w:val="0"/>
                <w:sz w:val="24"/>
                <w:szCs w:val="24"/>
              </w:rPr>
              <w:t>证号</w:t>
            </w:r>
          </w:p>
        </w:tc>
        <w:tc>
          <w:tcPr>
            <w:tcW w:w="1262"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c>
          <w:tcPr>
            <w:tcW w:w="1216"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调解代理人姓名</w:t>
            </w:r>
          </w:p>
        </w:tc>
        <w:tc>
          <w:tcPr>
            <w:tcW w:w="1020" w:type="dxa"/>
            <w:gridSpan w:val="2"/>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c>
          <w:tcPr>
            <w:tcW w:w="875"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资格</w:t>
            </w:r>
          </w:p>
          <w:p>
            <w:pPr>
              <w:widowControl/>
              <w:ind w:firstLine="0" w:firstLineChars="0"/>
              <w:jc w:val="center"/>
              <w:rPr>
                <w:rFonts w:ascii="宋体" w:hAnsi="宋体" w:cs="宋体"/>
                <w:kern w:val="0"/>
                <w:sz w:val="24"/>
                <w:szCs w:val="24"/>
              </w:rPr>
            </w:pPr>
            <w:r>
              <w:rPr>
                <w:rFonts w:hint="eastAsia" w:ascii="宋体" w:hAnsi="宋体" w:cs="宋体"/>
                <w:kern w:val="0"/>
                <w:sz w:val="24"/>
                <w:szCs w:val="24"/>
              </w:rPr>
              <w:t>证号</w:t>
            </w:r>
          </w:p>
        </w:tc>
        <w:tc>
          <w:tcPr>
            <w:tcW w:w="1458"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c>
          <w:tcPr>
            <w:tcW w:w="1166" w:type="dxa"/>
            <w:gridSpan w:val="2"/>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调解代理人姓名</w:t>
            </w:r>
          </w:p>
        </w:tc>
        <w:tc>
          <w:tcPr>
            <w:tcW w:w="1021"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c>
          <w:tcPr>
            <w:tcW w:w="874" w:type="dxa"/>
            <w:tcBorders>
              <w:top w:val="nil"/>
              <w:left w:val="nil"/>
              <w:bottom w:val="single" w:color="auto" w:sz="4" w:space="0"/>
              <w:right w:val="single" w:color="auto" w:sz="4"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资格</w:t>
            </w:r>
          </w:p>
          <w:p>
            <w:pPr>
              <w:widowControl/>
              <w:ind w:firstLine="0" w:firstLineChars="0"/>
              <w:jc w:val="center"/>
              <w:rPr>
                <w:rFonts w:ascii="宋体" w:hAnsi="宋体" w:cs="宋体"/>
                <w:kern w:val="0"/>
                <w:sz w:val="24"/>
                <w:szCs w:val="24"/>
              </w:rPr>
            </w:pPr>
            <w:r>
              <w:rPr>
                <w:rFonts w:hint="eastAsia" w:ascii="宋体" w:hAnsi="宋体" w:cs="宋体"/>
                <w:kern w:val="0"/>
                <w:sz w:val="24"/>
                <w:szCs w:val="24"/>
              </w:rPr>
              <w:t>证号</w:t>
            </w:r>
          </w:p>
        </w:tc>
        <w:tc>
          <w:tcPr>
            <w:tcW w:w="1604" w:type="dxa"/>
            <w:tcBorders>
              <w:top w:val="nil"/>
              <w:left w:val="nil"/>
              <w:bottom w:val="single" w:color="auto" w:sz="4" w:space="0"/>
              <w:right w:val="single" w:color="auto" w:sz="8" w:space="0"/>
            </w:tcBorders>
            <w:vAlign w:val="center"/>
          </w:tcPr>
          <w:p>
            <w:pPr>
              <w:widowControl/>
              <w:ind w:firstLine="0" w:firstLineChars="0"/>
              <w:jc w:val="center"/>
              <w:rPr>
                <w:rFonts w:ascii="宋体" w:hAnsi="宋体" w:cs="宋体"/>
                <w:kern w:val="0"/>
                <w:sz w:val="24"/>
                <w:szCs w:val="24"/>
              </w:rPr>
            </w:pPr>
            <w:r>
              <w:rPr>
                <w:rFonts w:hint="eastAsia" w:ascii="宋体" w:hAnsi="宋体" w:cs="宋体"/>
                <w:kern w:val="0"/>
                <w:sz w:val="24"/>
                <w:szCs w:val="24"/>
              </w:rPr>
              <w:t>　</w:t>
            </w:r>
          </w:p>
        </w:tc>
      </w:tr>
      <w:tr>
        <w:tblPrEx>
          <w:tblCellMar>
            <w:top w:w="0" w:type="dxa"/>
            <w:left w:w="108" w:type="dxa"/>
            <w:bottom w:w="0" w:type="dxa"/>
            <w:right w:w="108" w:type="dxa"/>
          </w:tblCellMar>
        </w:tblPrEx>
        <w:trPr>
          <w:trHeight w:val="624" w:hRule="atLeast"/>
        </w:trPr>
        <w:tc>
          <w:tcPr>
            <w:tcW w:w="4192" w:type="dxa"/>
            <w:gridSpan w:val="4"/>
            <w:vMerge w:val="restart"/>
            <w:tcBorders>
              <w:top w:val="single" w:color="auto" w:sz="4" w:space="0"/>
              <w:left w:val="single" w:color="auto" w:sz="8" w:space="0"/>
              <w:bottom w:val="single" w:color="auto" w:sz="4" w:space="0"/>
              <w:right w:val="single" w:color="auto" w:sz="4" w:space="0"/>
            </w:tcBorders>
            <w:vAlign w:val="bottom"/>
          </w:tcPr>
          <w:p>
            <w:pPr>
              <w:widowControl/>
              <w:ind w:firstLine="0" w:firstLineChars="0"/>
              <w:jc w:val="right"/>
              <w:rPr>
                <w:rFonts w:ascii="宋体" w:hAnsi="宋体" w:cs="宋体"/>
                <w:kern w:val="0"/>
                <w:sz w:val="24"/>
                <w:szCs w:val="24"/>
              </w:rPr>
            </w:pPr>
            <w:r>
              <w:rPr>
                <w:rFonts w:hint="eastAsia" w:ascii="宋体" w:hAnsi="宋体" w:cs="宋体"/>
                <w:kern w:val="0"/>
                <w:sz w:val="24"/>
                <w:szCs w:val="24"/>
                <w:vertAlign w:val="subscript"/>
              </w:rPr>
              <w:t>（单位盖章）</w:t>
            </w:r>
          </w:p>
        </w:tc>
        <w:tc>
          <w:tcPr>
            <w:tcW w:w="4569" w:type="dxa"/>
            <w:gridSpan w:val="5"/>
            <w:vMerge w:val="restart"/>
            <w:tcBorders>
              <w:top w:val="single" w:color="auto" w:sz="4" w:space="0"/>
              <w:left w:val="single" w:color="auto" w:sz="4" w:space="0"/>
              <w:bottom w:val="single" w:color="auto" w:sz="4" w:space="0"/>
              <w:right w:val="single" w:color="auto" w:sz="4" w:space="0"/>
            </w:tcBorders>
            <w:vAlign w:val="bottom"/>
          </w:tcPr>
          <w:p>
            <w:pPr>
              <w:widowControl/>
              <w:ind w:firstLine="0" w:firstLineChars="0"/>
              <w:jc w:val="right"/>
              <w:rPr>
                <w:rFonts w:ascii="宋体" w:hAnsi="宋体" w:cs="宋体"/>
                <w:kern w:val="0"/>
                <w:sz w:val="24"/>
                <w:szCs w:val="24"/>
              </w:rPr>
            </w:pPr>
            <w:r>
              <w:rPr>
                <w:rFonts w:hint="eastAsia" w:ascii="宋体" w:hAnsi="宋体" w:cs="宋体"/>
                <w:kern w:val="0"/>
                <w:sz w:val="24"/>
                <w:szCs w:val="24"/>
                <w:vertAlign w:val="subscript"/>
              </w:rPr>
              <w:t>（单位盖章）</w:t>
            </w:r>
          </w:p>
        </w:tc>
        <w:tc>
          <w:tcPr>
            <w:tcW w:w="4665" w:type="dxa"/>
            <w:gridSpan w:val="5"/>
            <w:vMerge w:val="restart"/>
            <w:tcBorders>
              <w:top w:val="single" w:color="auto" w:sz="4" w:space="0"/>
              <w:left w:val="single" w:color="auto" w:sz="4" w:space="0"/>
              <w:bottom w:val="single" w:color="auto" w:sz="4" w:space="0"/>
              <w:right w:val="single" w:color="000000" w:sz="8" w:space="0"/>
            </w:tcBorders>
            <w:vAlign w:val="bottom"/>
          </w:tcPr>
          <w:p>
            <w:pPr>
              <w:widowControl/>
              <w:ind w:firstLine="0" w:firstLineChars="0"/>
              <w:jc w:val="right"/>
              <w:rPr>
                <w:rFonts w:ascii="宋体" w:hAnsi="宋体" w:cs="宋体"/>
                <w:kern w:val="0"/>
                <w:sz w:val="24"/>
                <w:szCs w:val="24"/>
              </w:rPr>
            </w:pPr>
            <w:r>
              <w:rPr>
                <w:rFonts w:hint="eastAsia" w:ascii="宋体" w:hAnsi="宋体" w:cs="宋体"/>
                <w:kern w:val="0"/>
                <w:sz w:val="24"/>
                <w:szCs w:val="24"/>
                <w:vertAlign w:val="subscript"/>
              </w:rPr>
              <w:t xml:space="preserve">                                                                 技术负责人签字：                    （单位盖章）</w:t>
            </w:r>
          </w:p>
        </w:tc>
      </w:tr>
      <w:tr>
        <w:tblPrEx>
          <w:tblCellMar>
            <w:top w:w="0" w:type="dxa"/>
            <w:left w:w="108" w:type="dxa"/>
            <w:bottom w:w="0" w:type="dxa"/>
            <w:right w:w="108" w:type="dxa"/>
          </w:tblCellMar>
        </w:tblPrEx>
        <w:trPr>
          <w:trHeight w:val="624" w:hRule="atLeast"/>
        </w:trPr>
        <w:tc>
          <w:tcPr>
            <w:tcW w:w="4192" w:type="dxa"/>
            <w:gridSpan w:val="4"/>
            <w:vMerge w:val="continue"/>
            <w:tcBorders>
              <w:top w:val="single" w:color="auto" w:sz="4" w:space="0"/>
              <w:left w:val="single" w:color="auto" w:sz="8"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569" w:type="dxa"/>
            <w:gridSpan w:val="5"/>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665" w:type="dxa"/>
            <w:gridSpan w:val="5"/>
            <w:vMerge w:val="continue"/>
            <w:tcBorders>
              <w:top w:val="single" w:color="auto" w:sz="4" w:space="0"/>
              <w:left w:val="single" w:color="auto" w:sz="4" w:space="0"/>
              <w:bottom w:val="single" w:color="auto" w:sz="4" w:space="0"/>
              <w:right w:val="single" w:color="000000" w:sz="8" w:space="0"/>
            </w:tcBorders>
            <w:vAlign w:val="center"/>
          </w:tcPr>
          <w:p>
            <w:pPr>
              <w:widowControl/>
              <w:ind w:firstLine="0" w:firstLineChars="0"/>
              <w:jc w:val="left"/>
              <w:rPr>
                <w:rFonts w:ascii="宋体" w:hAnsi="宋体" w:cs="宋体"/>
                <w:kern w:val="0"/>
                <w:sz w:val="32"/>
                <w:szCs w:val="32"/>
              </w:rPr>
            </w:pPr>
          </w:p>
        </w:tc>
      </w:tr>
      <w:tr>
        <w:tblPrEx>
          <w:tblCellMar>
            <w:top w:w="0" w:type="dxa"/>
            <w:left w:w="108" w:type="dxa"/>
            <w:bottom w:w="0" w:type="dxa"/>
            <w:right w:w="108" w:type="dxa"/>
          </w:tblCellMar>
        </w:tblPrEx>
        <w:trPr>
          <w:trHeight w:val="624" w:hRule="atLeast"/>
        </w:trPr>
        <w:tc>
          <w:tcPr>
            <w:tcW w:w="4192" w:type="dxa"/>
            <w:gridSpan w:val="4"/>
            <w:vMerge w:val="continue"/>
            <w:tcBorders>
              <w:top w:val="single" w:color="auto" w:sz="4" w:space="0"/>
              <w:left w:val="single" w:color="auto" w:sz="8"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569" w:type="dxa"/>
            <w:gridSpan w:val="5"/>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665" w:type="dxa"/>
            <w:gridSpan w:val="5"/>
            <w:vMerge w:val="continue"/>
            <w:tcBorders>
              <w:top w:val="single" w:color="auto" w:sz="4" w:space="0"/>
              <w:left w:val="single" w:color="auto" w:sz="4" w:space="0"/>
              <w:bottom w:val="single" w:color="auto" w:sz="4" w:space="0"/>
              <w:right w:val="single" w:color="000000" w:sz="8" w:space="0"/>
            </w:tcBorders>
            <w:vAlign w:val="center"/>
          </w:tcPr>
          <w:p>
            <w:pPr>
              <w:widowControl/>
              <w:ind w:firstLine="0" w:firstLineChars="0"/>
              <w:jc w:val="left"/>
              <w:rPr>
                <w:rFonts w:ascii="宋体" w:hAnsi="宋体" w:cs="宋体"/>
                <w:kern w:val="0"/>
                <w:sz w:val="32"/>
                <w:szCs w:val="32"/>
              </w:rPr>
            </w:pPr>
          </w:p>
        </w:tc>
      </w:tr>
      <w:tr>
        <w:tblPrEx>
          <w:tblCellMar>
            <w:top w:w="0" w:type="dxa"/>
            <w:left w:w="108" w:type="dxa"/>
            <w:bottom w:w="0" w:type="dxa"/>
            <w:right w:w="108" w:type="dxa"/>
          </w:tblCellMar>
        </w:tblPrEx>
        <w:trPr>
          <w:trHeight w:val="624" w:hRule="atLeast"/>
        </w:trPr>
        <w:tc>
          <w:tcPr>
            <w:tcW w:w="4192" w:type="dxa"/>
            <w:gridSpan w:val="4"/>
            <w:vMerge w:val="continue"/>
            <w:tcBorders>
              <w:top w:val="single" w:color="auto" w:sz="4" w:space="0"/>
              <w:left w:val="single" w:color="auto" w:sz="8"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569" w:type="dxa"/>
            <w:gridSpan w:val="5"/>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665" w:type="dxa"/>
            <w:gridSpan w:val="5"/>
            <w:vMerge w:val="continue"/>
            <w:tcBorders>
              <w:top w:val="single" w:color="auto" w:sz="4" w:space="0"/>
              <w:left w:val="single" w:color="auto" w:sz="4" w:space="0"/>
              <w:bottom w:val="single" w:color="auto" w:sz="4" w:space="0"/>
              <w:right w:val="single" w:color="000000" w:sz="8" w:space="0"/>
            </w:tcBorders>
            <w:vAlign w:val="center"/>
          </w:tcPr>
          <w:p>
            <w:pPr>
              <w:widowControl/>
              <w:ind w:firstLine="0" w:firstLineChars="0"/>
              <w:jc w:val="left"/>
              <w:rPr>
                <w:rFonts w:ascii="宋体" w:hAnsi="宋体" w:cs="宋体"/>
                <w:kern w:val="0"/>
                <w:sz w:val="32"/>
                <w:szCs w:val="32"/>
              </w:rPr>
            </w:pPr>
          </w:p>
        </w:tc>
      </w:tr>
      <w:tr>
        <w:tblPrEx>
          <w:tblCellMar>
            <w:top w:w="0" w:type="dxa"/>
            <w:left w:w="108" w:type="dxa"/>
            <w:bottom w:w="0" w:type="dxa"/>
            <w:right w:w="108" w:type="dxa"/>
          </w:tblCellMar>
        </w:tblPrEx>
        <w:trPr>
          <w:trHeight w:val="520" w:hRule="atLeast"/>
        </w:trPr>
        <w:tc>
          <w:tcPr>
            <w:tcW w:w="4192" w:type="dxa"/>
            <w:gridSpan w:val="4"/>
            <w:vMerge w:val="continue"/>
            <w:tcBorders>
              <w:top w:val="single" w:color="auto" w:sz="4" w:space="0"/>
              <w:left w:val="single" w:color="auto" w:sz="8"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569" w:type="dxa"/>
            <w:gridSpan w:val="5"/>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宋体" w:hAnsi="宋体" w:cs="宋体"/>
                <w:kern w:val="0"/>
                <w:sz w:val="32"/>
                <w:szCs w:val="32"/>
              </w:rPr>
            </w:pPr>
          </w:p>
        </w:tc>
        <w:tc>
          <w:tcPr>
            <w:tcW w:w="4665" w:type="dxa"/>
            <w:gridSpan w:val="5"/>
            <w:vMerge w:val="continue"/>
            <w:tcBorders>
              <w:top w:val="single" w:color="auto" w:sz="4" w:space="0"/>
              <w:left w:val="single" w:color="auto" w:sz="4" w:space="0"/>
              <w:bottom w:val="single" w:color="auto" w:sz="4" w:space="0"/>
              <w:right w:val="single" w:color="000000" w:sz="8" w:space="0"/>
            </w:tcBorders>
            <w:vAlign w:val="center"/>
          </w:tcPr>
          <w:p>
            <w:pPr>
              <w:widowControl/>
              <w:ind w:firstLine="0" w:firstLineChars="0"/>
              <w:jc w:val="left"/>
              <w:rPr>
                <w:rFonts w:ascii="宋体" w:hAnsi="宋体" w:cs="宋体"/>
                <w:kern w:val="0"/>
                <w:sz w:val="32"/>
                <w:szCs w:val="32"/>
              </w:rPr>
            </w:pPr>
          </w:p>
        </w:tc>
      </w:tr>
      <w:tr>
        <w:tblPrEx>
          <w:tblCellMar>
            <w:top w:w="0" w:type="dxa"/>
            <w:left w:w="108" w:type="dxa"/>
            <w:bottom w:w="0" w:type="dxa"/>
            <w:right w:w="108" w:type="dxa"/>
          </w:tblCellMar>
        </w:tblPrEx>
        <w:trPr>
          <w:trHeight w:val="1034" w:hRule="atLeast"/>
        </w:trPr>
        <w:tc>
          <w:tcPr>
            <w:tcW w:w="2135" w:type="dxa"/>
            <w:gridSpan w:val="2"/>
            <w:tcBorders>
              <w:top w:val="single" w:color="auto" w:sz="4" w:space="0"/>
              <w:left w:val="single" w:color="auto" w:sz="8" w:space="0"/>
              <w:bottom w:val="single" w:color="auto" w:sz="8" w:space="0"/>
              <w:right w:val="single" w:color="auto" w:sz="4" w:space="0"/>
            </w:tcBorders>
            <w:vAlign w:val="center"/>
          </w:tcPr>
          <w:p>
            <w:pPr>
              <w:widowControl/>
              <w:ind w:firstLine="0" w:firstLineChars="0"/>
              <w:jc w:val="center"/>
              <w:rPr>
                <w:rFonts w:ascii="宋体" w:hAnsi="宋体" w:cs="宋体"/>
                <w:kern w:val="0"/>
                <w:szCs w:val="21"/>
              </w:rPr>
            </w:pPr>
            <w:r>
              <w:rPr>
                <w:rFonts w:hint="eastAsia" w:ascii="宋体" w:hAnsi="宋体" w:cs="宋体"/>
                <w:kern w:val="0"/>
                <w:szCs w:val="21"/>
              </w:rPr>
              <w:t>调解意见</w:t>
            </w:r>
          </w:p>
        </w:tc>
        <w:tc>
          <w:tcPr>
            <w:tcW w:w="11291" w:type="dxa"/>
            <w:gridSpan w:val="12"/>
            <w:tcBorders>
              <w:top w:val="single" w:color="auto" w:sz="4" w:space="0"/>
              <w:left w:val="nil"/>
              <w:bottom w:val="single" w:color="auto" w:sz="8" w:space="0"/>
              <w:right w:val="single" w:color="000000" w:sz="8" w:space="0"/>
            </w:tcBorders>
            <w:vAlign w:val="center"/>
          </w:tcPr>
          <w:p>
            <w:pPr>
              <w:widowControl/>
              <w:ind w:firstLine="0" w:firstLineChars="0"/>
              <w:jc w:val="center"/>
              <w:rPr>
                <w:rFonts w:ascii="宋体" w:hAnsi="宋体" w:cs="宋体"/>
                <w:kern w:val="0"/>
                <w:szCs w:val="21"/>
              </w:rPr>
            </w:pPr>
            <w:r>
              <w:rPr>
                <w:rFonts w:hint="eastAsia" w:ascii="宋体" w:hAnsi="宋体" w:cs="宋体"/>
                <w:kern w:val="0"/>
                <w:szCs w:val="21"/>
              </w:rPr>
              <w:t>　</w:t>
            </w:r>
          </w:p>
        </w:tc>
      </w:tr>
    </w:tbl>
    <w:p>
      <w:pPr>
        <w:widowControl/>
        <w:spacing w:line="240" w:lineRule="auto"/>
        <w:ind w:firstLine="0" w:firstLineChars="0"/>
        <w:jc w:val="left"/>
        <w:rPr>
          <w:rFonts w:ascii="宋体" w:hAnsi="宋体" w:cs="宋体"/>
          <w:kern w:val="0"/>
          <w:szCs w:val="21"/>
        </w:rPr>
      </w:pPr>
      <w:r>
        <w:rPr>
          <w:rFonts w:hint="eastAsia" w:ascii="宋体" w:hAnsi="宋体" w:cs="宋体"/>
          <w:kern w:val="0"/>
          <w:szCs w:val="21"/>
        </w:rPr>
        <w:t>注1：本表一式四份。</w:t>
      </w:r>
    </w:p>
    <w:p>
      <w:pPr>
        <w:widowControl/>
        <w:snapToGrid w:val="0"/>
        <w:spacing w:line="240" w:lineRule="auto"/>
        <w:ind w:firstLine="0" w:firstLineChars="0"/>
        <w:jc w:val="left"/>
        <w:rPr>
          <w:kern w:val="0"/>
        </w:rPr>
        <w:sectPr>
          <w:pgSz w:w="16838" w:h="11906" w:orient="landscape"/>
          <w:pgMar w:top="1287" w:right="1440" w:bottom="1440" w:left="1440" w:header="851" w:footer="992" w:gutter="0"/>
          <w:pgNumType w:fmt="decimal"/>
          <w:cols w:space="720" w:num="1"/>
          <w:docGrid w:type="linesAndChars" w:linePitch="312" w:charSpace="0"/>
        </w:sectPr>
      </w:pPr>
      <w:r>
        <w:rPr>
          <w:rFonts w:hint="eastAsia" w:ascii="宋体" w:hAnsi="宋体" w:cs="宋体"/>
          <w:kern w:val="0"/>
          <w:szCs w:val="21"/>
        </w:rPr>
        <w:t>注2：争议问题可另附页，另附页上仍需加盖各单位公章。</w:t>
      </w:r>
    </w:p>
    <w:p>
      <w:pPr>
        <w:pStyle w:val="5"/>
      </w:pPr>
      <w:bookmarkStart w:id="2027" w:name="_Toc18678"/>
      <w:bookmarkStart w:id="2028" w:name="_Toc9387"/>
      <w:bookmarkStart w:id="2029" w:name="_Toc23937"/>
      <w:bookmarkStart w:id="2030" w:name="_Toc12928"/>
      <w:bookmarkStart w:id="2031" w:name="_Toc27391"/>
      <w:bookmarkStart w:id="2032" w:name="_Toc15635"/>
      <w:bookmarkStart w:id="2033" w:name="_Toc27443"/>
      <w:r>
        <w:rPr>
          <w:rFonts w:hint="eastAsia"/>
        </w:rPr>
        <w:t>苏州市工程造价管理处</w:t>
      </w:r>
      <w:bookmarkEnd w:id="2027"/>
      <w:bookmarkEnd w:id="2028"/>
      <w:bookmarkEnd w:id="2029"/>
      <w:bookmarkEnd w:id="2030"/>
      <w:bookmarkEnd w:id="2031"/>
      <w:bookmarkEnd w:id="2032"/>
      <w:bookmarkEnd w:id="2033"/>
    </w:p>
    <w:p>
      <w:pPr>
        <w:pStyle w:val="4"/>
      </w:pPr>
      <w:bookmarkStart w:id="2034" w:name="_Toc7185"/>
      <w:bookmarkStart w:id="2035" w:name="_Toc29681"/>
      <w:bookmarkStart w:id="2036" w:name="_Toc8072"/>
      <w:bookmarkStart w:id="2037" w:name="_Toc22256"/>
      <w:bookmarkStart w:id="2038" w:name="_Toc28350"/>
      <w:bookmarkStart w:id="2039" w:name="_Toc22580"/>
      <w:bookmarkStart w:id="2040" w:name="_Toc22405"/>
      <w:bookmarkStart w:id="2041" w:name="_Toc30081"/>
      <w:bookmarkStart w:id="2042" w:name="_Toc8365"/>
      <w:bookmarkStart w:id="2043" w:name="_Toc9031"/>
      <w:bookmarkStart w:id="2044" w:name="_Toc27999"/>
      <w:r>
        <w:t> </w:t>
      </w:r>
      <w:r>
        <w:rPr>
          <w:rFonts w:hint="eastAsia"/>
        </w:rPr>
        <w:t>苏工价〔2015〕6号</w:t>
      </w:r>
      <w:bookmarkEnd w:id="2034"/>
      <w:bookmarkEnd w:id="2035"/>
      <w:bookmarkEnd w:id="2036"/>
      <w:bookmarkEnd w:id="2037"/>
      <w:bookmarkEnd w:id="2038"/>
      <w:bookmarkEnd w:id="2039"/>
      <w:bookmarkEnd w:id="2040"/>
      <w:bookmarkEnd w:id="2041"/>
      <w:bookmarkEnd w:id="2042"/>
      <w:bookmarkEnd w:id="2043"/>
      <w:bookmarkEnd w:id="2044"/>
    </w:p>
    <w:p>
      <w:pPr>
        <w:spacing w:before="100" w:beforeAutospacing="1" w:after="100" w:afterAutospacing="1" w:line="420" w:lineRule="atLeast"/>
        <w:ind w:firstLine="640"/>
        <w:jc w:val="center"/>
        <w:rPr>
          <w:rFonts w:ascii="黑体" w:hAnsi="黑体" w:eastAsia="黑体"/>
          <w:sz w:val="32"/>
        </w:rPr>
      </w:pPr>
      <w:r>
        <w:rPr>
          <w:rFonts w:hint="eastAsia" w:ascii="黑体" w:hAnsi="黑体" w:eastAsia="黑体"/>
          <w:sz w:val="32"/>
        </w:rPr>
        <mc:AlternateContent>
          <mc:Choice Requires="wps">
            <w:drawing>
              <wp:anchor distT="0" distB="0" distL="114300" distR="114300" simplePos="0" relativeHeight="251697152" behindDoc="0" locked="0" layoutInCell="1" allowOverlap="1">
                <wp:simplePos x="0" y="0"/>
                <wp:positionH relativeFrom="column">
                  <wp:posOffset>45720</wp:posOffset>
                </wp:positionH>
                <wp:positionV relativeFrom="paragraph">
                  <wp:posOffset>225425</wp:posOffset>
                </wp:positionV>
                <wp:extent cx="5791200" cy="0"/>
                <wp:effectExtent l="0" t="13970" r="0" b="24130"/>
                <wp:wrapNone/>
                <wp:docPr id="88" name="直接连接符 88"/>
                <wp:cNvGraphicFramePr/>
                <a:graphic xmlns:a="http://schemas.openxmlformats.org/drawingml/2006/main">
                  <a:graphicData uri="http://schemas.microsoft.com/office/word/2010/wordprocessingShape">
                    <wps:wsp>
                      <wps:cNvCnPr/>
                      <wps:spPr>
                        <a:xfrm>
                          <a:off x="0" y="0"/>
                          <a:ext cx="5791200" cy="0"/>
                        </a:xfrm>
                        <a:prstGeom prst="line">
                          <a:avLst/>
                        </a:prstGeom>
                        <a:ln w="28575"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3.6pt;margin-top:17.75pt;height:0pt;width:456pt;z-index:251697152;mso-width-relative:page;mso-height-relative:page;" filled="f" stroked="t" coordsize="21600,21600" o:gfxdata="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d8UyNQAAAAHAQAADwAAAAAAAAABACAAAAAiAAAAZHJzL2Rvd25yZXYueG1sUEsBAhQAFAAAAAgA&#10;h07iQJMd0TLwAQAA2wMAAA4AAAAAAAAAAQAgAAAAIwEAAGRycy9lMm9Eb2MueG1sUEsFBgAAAAAG&#10;AAYAWQEAAIUFAAAAAA==&#10;">
                <v:fill on="f" focussize="0,0"/>
                <v:stroke weight="2.25pt" color="#FF0000" joinstyle="round"/>
                <v:imagedata o:title=""/>
                <o:lock v:ext="edit" aspectratio="f"/>
              </v:line>
            </w:pict>
          </mc:Fallback>
        </mc:AlternateContent>
      </w:r>
    </w:p>
    <w:p>
      <w:pPr>
        <w:pStyle w:val="3"/>
        <w:spacing w:line="600" w:lineRule="exact"/>
      </w:pPr>
      <w:bookmarkStart w:id="2045" w:name="_Toc7894"/>
      <w:bookmarkStart w:id="2046" w:name="_Toc7424"/>
      <w:bookmarkStart w:id="2047" w:name="_Toc24404"/>
      <w:bookmarkStart w:id="2048" w:name="_Toc5858"/>
      <w:bookmarkStart w:id="2049" w:name="_Toc21065"/>
      <w:bookmarkStart w:id="2050" w:name="_Toc10775"/>
      <w:bookmarkStart w:id="2051" w:name="_Toc16958"/>
      <w:bookmarkStart w:id="2052" w:name="_Toc10404"/>
      <w:bookmarkStart w:id="2053" w:name="_Toc26949"/>
      <w:bookmarkStart w:id="2054" w:name="_Toc8550"/>
      <w:bookmarkStart w:id="2055" w:name="_Toc28951"/>
      <w:bookmarkStart w:id="2056" w:name="_Toc12185"/>
      <w:bookmarkStart w:id="2057" w:name="_Toc19056"/>
      <w:bookmarkStart w:id="2058" w:name="_Toc11583"/>
      <w:r>
        <w:rPr>
          <w:rFonts w:hint="eastAsia"/>
        </w:rPr>
        <w:t>关于转发《关于发布江苏省建筑与装饰、安装、市政计价定额（2014版）中调整和增加机械的台班单价组成的通知》的通知</w:t>
      </w:r>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p>
    <w:p>
      <w:pPr>
        <w:ind w:firstLine="640"/>
        <w:jc w:val="center"/>
        <w:rPr>
          <w:rFonts w:ascii="黑体" w:hAnsi="黑体" w:eastAsia="黑体"/>
          <w:sz w:val="32"/>
        </w:rPr>
      </w:pPr>
    </w:p>
    <w:p>
      <w:pPr>
        <w:ind w:firstLine="0" w:firstLineChars="0"/>
      </w:pPr>
      <w:r>
        <w:rPr>
          <w:rFonts w:hint="eastAsia"/>
        </w:rPr>
        <w:t>各建设、</w:t>
      </w:r>
      <w:r>
        <w:t>设计、</w:t>
      </w:r>
      <w:r>
        <w:rPr>
          <w:rFonts w:hint="eastAsia"/>
        </w:rPr>
        <w:t>施工、中介咨询机构，市各有关单位：</w:t>
      </w:r>
    </w:p>
    <w:p>
      <w:pPr>
        <w:ind w:firstLine="560"/>
      </w:pPr>
      <w:r>
        <w:rPr>
          <w:rFonts w:hint="eastAsia"/>
        </w:rPr>
        <w:t>现将江苏省建设工程造价管理总站《关于发布江苏省建筑与装饰、安装、市政计价定额（2014版）中调整和增加机械的台班单价组成的通知》（苏建价函</w:t>
      </w:r>
      <w:r>
        <w:t>(201</w:t>
      </w:r>
      <w:r>
        <w:rPr>
          <w:rFonts w:hint="eastAsia"/>
        </w:rPr>
        <w:t>5</w:t>
      </w:r>
      <w:r>
        <w:t>)</w:t>
      </w:r>
      <w:r>
        <w:rPr>
          <w:rFonts w:hint="eastAsia"/>
        </w:rPr>
        <w:t>5号）转发给你们，请遵照执行。</w:t>
      </w:r>
    </w:p>
    <w:p>
      <w:pPr>
        <w:ind w:firstLine="560"/>
      </w:pPr>
    </w:p>
    <w:p>
      <w:pPr>
        <w:ind w:firstLine="560"/>
      </w:pPr>
      <w:r>
        <w:rPr>
          <w:rFonts w:hint="eastAsia"/>
        </w:rPr>
        <w:t>附件：《关于发布江苏省建筑与装饰、安装、市政计价定额（2014版）中调整和增加机械的台班单价组成的通知》（苏建价函</w:t>
      </w:r>
      <w:r>
        <w:t>(201</w:t>
      </w:r>
      <w:r>
        <w:rPr>
          <w:rFonts w:hint="eastAsia"/>
        </w:rPr>
        <w:t>5</w:t>
      </w:r>
      <w:r>
        <w:t>)</w:t>
      </w:r>
      <w:r>
        <w:rPr>
          <w:rFonts w:hint="eastAsia"/>
        </w:rPr>
        <w:t>5号）</w:t>
      </w:r>
    </w:p>
    <w:p>
      <w:pPr>
        <w:ind w:firstLine="560"/>
      </w:pPr>
    </w:p>
    <w:p>
      <w:pPr>
        <w:ind w:firstLine="560"/>
      </w:pPr>
    </w:p>
    <w:p>
      <w:pPr>
        <w:ind w:firstLine="560"/>
      </w:pPr>
      <w:r>
        <w:rPr>
          <w:rFonts w:hint="eastAsia"/>
        </w:rPr>
        <w:t>　　                           苏州市工程造价管理处</w:t>
      </w:r>
    </w:p>
    <w:p>
      <w:pPr>
        <w:ind w:firstLine="560"/>
        <w:rPr>
          <w:rFonts w:ascii="宋体" w:hAnsi="宋体"/>
        </w:rPr>
      </w:pPr>
      <w:r>
        <w:rPr>
          <w:rFonts w:hint="eastAsia"/>
        </w:rPr>
        <w:t xml:space="preserve">     　　　　                    2015年3月3日</w:t>
      </w:r>
    </w:p>
    <w:p>
      <w:pPr>
        <w:spacing w:line="240" w:lineRule="auto"/>
        <w:ind w:firstLine="0" w:firstLineChars="0"/>
        <w:jc w:val="left"/>
        <w:rPr>
          <w:rFonts w:ascii="宋体" w:hAnsi="宋体"/>
          <w:sz w:val="32"/>
        </w:rPr>
      </w:pPr>
      <w:r>
        <w:rPr>
          <w:kern w:val="0"/>
        </w:rPr>
        <w:br w:type="page"/>
      </w:r>
      <w:r>
        <w:rPr>
          <w:rFonts w:hint="eastAsia" w:ascii="宋体" w:hAnsi="宋体"/>
          <w:sz w:val="32"/>
        </w:rPr>
        <w:t>附件：</w:t>
      </w:r>
    </w:p>
    <w:p>
      <w:pPr>
        <w:spacing w:line="240" w:lineRule="auto"/>
        <w:ind w:firstLine="0" w:firstLineChars="0"/>
        <w:jc w:val="center"/>
        <w:sectPr>
          <w:pgSz w:w="11906" w:h="16838"/>
          <w:pgMar w:top="1440" w:right="1287" w:bottom="1440" w:left="1440" w:header="851" w:footer="992" w:gutter="0"/>
          <w:pgNumType w:fmt="decimal"/>
          <w:cols w:space="720" w:num="1"/>
          <w:docGrid w:type="lines" w:linePitch="312" w:charSpace="0"/>
        </w:sectPr>
      </w:pPr>
      <w:r>
        <w:drawing>
          <wp:inline distT="0" distB="0" distL="114300" distR="114300">
            <wp:extent cx="5713730" cy="7937500"/>
            <wp:effectExtent l="0" t="0" r="1270" b="6350"/>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146"/>
                    <a:srcRect l="5158" t="6640" r="7895" b="7951"/>
                    <a:stretch>
                      <a:fillRect/>
                    </a:stretch>
                  </pic:blipFill>
                  <pic:spPr>
                    <a:xfrm>
                      <a:off x="0" y="0"/>
                      <a:ext cx="5713730" cy="7937500"/>
                    </a:xfrm>
                    <a:prstGeom prst="rect">
                      <a:avLst/>
                    </a:prstGeom>
                    <a:noFill/>
                    <a:ln>
                      <a:noFill/>
                    </a:ln>
                  </pic:spPr>
                </pic:pic>
              </a:graphicData>
            </a:graphic>
          </wp:inline>
        </w:drawing>
      </w:r>
    </w:p>
    <w:tbl>
      <w:tblPr>
        <w:tblStyle w:val="22"/>
        <w:tblW w:w="15589" w:type="dxa"/>
        <w:tblInd w:w="-516" w:type="dxa"/>
        <w:tblLayout w:type="fixed"/>
        <w:tblCellMar>
          <w:top w:w="0" w:type="dxa"/>
          <w:left w:w="108" w:type="dxa"/>
          <w:bottom w:w="0" w:type="dxa"/>
          <w:right w:w="108" w:type="dxa"/>
        </w:tblCellMar>
      </w:tblPr>
      <w:tblGrid>
        <w:gridCol w:w="989"/>
        <w:gridCol w:w="1168"/>
        <w:gridCol w:w="1106"/>
        <w:gridCol w:w="992"/>
        <w:gridCol w:w="902"/>
        <w:gridCol w:w="985"/>
        <w:gridCol w:w="938"/>
        <w:gridCol w:w="793"/>
        <w:gridCol w:w="866"/>
        <w:gridCol w:w="846"/>
        <w:gridCol w:w="907"/>
        <w:gridCol w:w="779"/>
        <w:gridCol w:w="829"/>
        <w:gridCol w:w="816"/>
        <w:gridCol w:w="885"/>
        <w:gridCol w:w="579"/>
        <w:gridCol w:w="579"/>
        <w:gridCol w:w="492"/>
        <w:gridCol w:w="138"/>
      </w:tblGrid>
      <w:tr>
        <w:tblPrEx>
          <w:tblCellMar>
            <w:top w:w="0" w:type="dxa"/>
            <w:left w:w="108" w:type="dxa"/>
            <w:bottom w:w="0" w:type="dxa"/>
            <w:right w:w="108" w:type="dxa"/>
          </w:tblCellMar>
        </w:tblPrEx>
        <w:trPr>
          <w:gridAfter w:val="1"/>
          <w:wAfter w:w="138" w:type="dxa"/>
          <w:trHeight w:val="973" w:hRule="atLeast"/>
        </w:trPr>
        <w:tc>
          <w:tcPr>
            <w:tcW w:w="15451" w:type="dxa"/>
            <w:gridSpan w:val="18"/>
            <w:tcBorders>
              <w:top w:val="nil"/>
              <w:left w:val="nil"/>
              <w:bottom w:val="single" w:color="000000" w:sz="4" w:space="0"/>
              <w:right w:val="nil"/>
            </w:tcBorders>
            <w:shd w:val="clear" w:color="auto" w:fill="FFFFFF"/>
            <w:noWrap/>
            <w:vAlign w:val="center"/>
          </w:tcPr>
          <w:p>
            <w:pPr>
              <w:widowControl/>
              <w:spacing w:line="240" w:lineRule="auto"/>
              <w:ind w:firstLine="0" w:firstLineChars="0"/>
              <w:jc w:val="left"/>
              <w:rPr>
                <w:rFonts w:ascii="宋体" w:hAnsi="宋体" w:cs="宋体"/>
                <w:b/>
                <w:bCs/>
                <w:color w:val="000000"/>
                <w:kern w:val="0"/>
                <w:sz w:val="32"/>
                <w:szCs w:val="32"/>
              </w:rPr>
            </w:pPr>
            <w:r>
              <w:rPr>
                <w:rFonts w:hint="eastAsia" w:ascii="宋体" w:hAnsi="宋体" w:cs="宋体"/>
                <w:b/>
                <w:bCs/>
                <w:color w:val="000000"/>
                <w:kern w:val="0"/>
                <w:sz w:val="32"/>
                <w:szCs w:val="32"/>
              </w:rPr>
              <w:t>附件一：                     江苏省施工机械台班2007年单价表调整部分</w:t>
            </w:r>
          </w:p>
        </w:tc>
      </w:tr>
      <w:tr>
        <w:tblPrEx>
          <w:tblCellMar>
            <w:top w:w="0" w:type="dxa"/>
            <w:left w:w="108" w:type="dxa"/>
            <w:bottom w:w="0" w:type="dxa"/>
            <w:right w:w="108" w:type="dxa"/>
          </w:tblCellMar>
        </w:tblPrEx>
        <w:trPr>
          <w:trHeight w:val="670" w:hRule="atLeast"/>
        </w:trPr>
        <w:tc>
          <w:tcPr>
            <w:tcW w:w="989"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编  码</w:t>
            </w:r>
          </w:p>
        </w:tc>
        <w:tc>
          <w:tcPr>
            <w:tcW w:w="116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机械名称</w:t>
            </w:r>
          </w:p>
        </w:tc>
        <w:tc>
          <w:tcPr>
            <w:tcW w:w="110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规格</w:t>
            </w:r>
          </w:p>
        </w:tc>
        <w:tc>
          <w:tcPr>
            <w:tcW w:w="992"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单价</w:t>
            </w:r>
          </w:p>
        </w:tc>
        <w:tc>
          <w:tcPr>
            <w:tcW w:w="9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折旧费</w:t>
            </w:r>
          </w:p>
        </w:tc>
        <w:tc>
          <w:tcPr>
            <w:tcW w:w="9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大修理费</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经常修理费</w:t>
            </w:r>
          </w:p>
        </w:tc>
        <w:tc>
          <w:tcPr>
            <w:tcW w:w="7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安拆外运费</w:t>
            </w:r>
          </w:p>
        </w:tc>
        <w:tc>
          <w:tcPr>
            <w:tcW w:w="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人工费</w:t>
            </w:r>
          </w:p>
        </w:tc>
        <w:tc>
          <w:tcPr>
            <w:tcW w:w="84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燃料动力费</w:t>
            </w:r>
          </w:p>
        </w:tc>
        <w:tc>
          <w:tcPr>
            <w:tcW w:w="9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其它</w:t>
            </w:r>
          </w:p>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费用</w:t>
            </w:r>
          </w:p>
        </w:tc>
        <w:tc>
          <w:tcPr>
            <w:tcW w:w="7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综合人工</w:t>
            </w:r>
          </w:p>
        </w:tc>
        <w:tc>
          <w:tcPr>
            <w:tcW w:w="8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汽油</w:t>
            </w:r>
          </w:p>
        </w:tc>
        <w:tc>
          <w:tcPr>
            <w:tcW w:w="8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柴油</w:t>
            </w:r>
          </w:p>
        </w:tc>
        <w:tc>
          <w:tcPr>
            <w:tcW w:w="8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电力</w:t>
            </w:r>
          </w:p>
        </w:tc>
        <w:tc>
          <w:tcPr>
            <w:tcW w:w="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煤</w:t>
            </w:r>
          </w:p>
        </w:tc>
        <w:tc>
          <w:tcPr>
            <w:tcW w:w="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木柴</w:t>
            </w:r>
          </w:p>
        </w:tc>
        <w:tc>
          <w:tcPr>
            <w:tcW w:w="63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水</w:t>
            </w:r>
          </w:p>
        </w:tc>
      </w:tr>
      <w:tr>
        <w:tblPrEx>
          <w:tblCellMar>
            <w:top w:w="0" w:type="dxa"/>
            <w:left w:w="108" w:type="dxa"/>
            <w:bottom w:w="0" w:type="dxa"/>
            <w:right w:w="108" w:type="dxa"/>
          </w:tblCellMar>
        </w:tblPrEx>
        <w:trPr>
          <w:trHeight w:val="377" w:hRule="atLeast"/>
        </w:trPr>
        <w:tc>
          <w:tcPr>
            <w:tcW w:w="98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116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110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99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9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9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7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86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84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90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元</w:t>
            </w:r>
          </w:p>
        </w:tc>
        <w:tc>
          <w:tcPr>
            <w:tcW w:w="7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工日</w:t>
            </w:r>
          </w:p>
        </w:tc>
        <w:tc>
          <w:tcPr>
            <w:tcW w:w="82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kg</w:t>
            </w:r>
          </w:p>
        </w:tc>
        <w:tc>
          <w:tcPr>
            <w:tcW w:w="8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kg</w:t>
            </w:r>
          </w:p>
        </w:tc>
        <w:tc>
          <w:tcPr>
            <w:tcW w:w="88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kW·h</w:t>
            </w:r>
          </w:p>
        </w:tc>
        <w:tc>
          <w:tcPr>
            <w:tcW w:w="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kg</w:t>
            </w:r>
          </w:p>
        </w:tc>
        <w:tc>
          <w:tcPr>
            <w:tcW w:w="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kg</w:t>
            </w:r>
          </w:p>
        </w:tc>
        <w:tc>
          <w:tcPr>
            <w:tcW w:w="63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m</w:t>
            </w:r>
            <w:r>
              <w:rPr>
                <w:rFonts w:ascii="宋体" w:hAnsi="宋体" w:cs="宋体"/>
                <w:b/>
                <w:bCs/>
                <w:color w:val="000000"/>
                <w:kern w:val="0"/>
                <w:sz w:val="18"/>
                <w:szCs w:val="18"/>
                <w:vertAlign w:val="superscript"/>
              </w:rPr>
              <w:t>3</w:t>
            </w:r>
          </w:p>
        </w:tc>
      </w:tr>
      <w:tr>
        <w:tblPrEx>
          <w:tblCellMar>
            <w:top w:w="0" w:type="dxa"/>
            <w:left w:w="108" w:type="dxa"/>
            <w:bottom w:w="0" w:type="dxa"/>
            <w:right w:w="108" w:type="dxa"/>
          </w:tblCellMar>
        </w:tblPrEx>
        <w:trPr>
          <w:trHeight w:val="391" w:hRule="atLeast"/>
        </w:trPr>
        <w:tc>
          <w:tcPr>
            <w:tcW w:w="98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116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110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99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b/>
                <w:bCs/>
                <w:color w:val="000000"/>
                <w:kern w:val="0"/>
                <w:sz w:val="18"/>
                <w:szCs w:val="18"/>
              </w:rPr>
            </w:pPr>
          </w:p>
        </w:tc>
        <w:tc>
          <w:tcPr>
            <w:tcW w:w="9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1.00</w:t>
            </w:r>
          </w:p>
        </w:tc>
        <w:tc>
          <w:tcPr>
            <w:tcW w:w="9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1.00</w:t>
            </w:r>
          </w:p>
        </w:tc>
        <w:tc>
          <w:tcPr>
            <w:tcW w:w="9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1.00</w:t>
            </w:r>
          </w:p>
        </w:tc>
        <w:tc>
          <w:tcPr>
            <w:tcW w:w="79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1.00</w:t>
            </w:r>
          </w:p>
        </w:tc>
        <w:tc>
          <w:tcPr>
            <w:tcW w:w="8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eastAsia="Times New Roman"/>
                <w:kern w:val="0"/>
                <w:sz w:val="20"/>
              </w:rPr>
            </w:pPr>
          </w:p>
        </w:tc>
        <w:tc>
          <w:tcPr>
            <w:tcW w:w="7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82.00</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10.64</w:t>
            </w:r>
          </w:p>
        </w:tc>
        <w:tc>
          <w:tcPr>
            <w:tcW w:w="8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9.03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0.89</w:t>
            </w:r>
          </w:p>
        </w:tc>
        <w:tc>
          <w:tcPr>
            <w:tcW w:w="5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1.10</w:t>
            </w:r>
          </w:p>
        </w:tc>
        <w:tc>
          <w:tcPr>
            <w:tcW w:w="5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1.10</w:t>
            </w:r>
          </w:p>
        </w:tc>
        <w:tc>
          <w:tcPr>
            <w:tcW w:w="630"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rPr>
                <w:rFonts w:ascii="宋体" w:hAnsi="宋体" w:cs="宋体"/>
                <w:b/>
                <w:bCs/>
                <w:color w:val="000000"/>
                <w:kern w:val="0"/>
                <w:sz w:val="18"/>
                <w:szCs w:val="18"/>
              </w:rPr>
            </w:pPr>
            <w:r>
              <w:rPr>
                <w:rFonts w:hint="eastAsia" w:ascii="宋体" w:hAnsi="宋体" w:cs="宋体"/>
                <w:b/>
                <w:bCs/>
                <w:color w:val="000000"/>
                <w:kern w:val="0"/>
                <w:sz w:val="18"/>
                <w:szCs w:val="18"/>
              </w:rPr>
              <w:t>4.70</w:t>
            </w: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99053511</w:t>
            </w:r>
          </w:p>
        </w:tc>
        <w:tc>
          <w:tcPr>
            <w:tcW w:w="11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泥浆罐输送车</w:t>
            </w:r>
          </w:p>
        </w:tc>
        <w:tc>
          <w:tcPr>
            <w:tcW w:w="110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4000L</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567.21 </w:t>
            </w:r>
          </w:p>
        </w:tc>
        <w:tc>
          <w:tcPr>
            <w:tcW w:w="90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60.52 </w:t>
            </w:r>
          </w:p>
        </w:tc>
        <w:tc>
          <w:tcPr>
            <w:tcW w:w="9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12.97 </w:t>
            </w:r>
          </w:p>
        </w:tc>
        <w:tc>
          <w:tcPr>
            <w:tcW w:w="9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55.64 </w:t>
            </w:r>
          </w:p>
        </w:tc>
        <w:tc>
          <w:tcPr>
            <w:tcW w:w="79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318.77 </w:t>
            </w:r>
          </w:p>
        </w:tc>
        <w:tc>
          <w:tcPr>
            <w:tcW w:w="90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16.81 </w:t>
            </w:r>
          </w:p>
        </w:tc>
        <w:tc>
          <w:tcPr>
            <w:tcW w:w="7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29.96 </w:t>
            </w:r>
          </w:p>
        </w:tc>
        <w:tc>
          <w:tcPr>
            <w:tcW w:w="81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366.45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22.30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24.54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201.10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11.64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18.90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386.44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23.77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26.15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216.63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12.73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20.36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装载质量3t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426.65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24.65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27.12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252.91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14.64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23.77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装载质量4t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453.50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27.47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30.22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271.11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16.81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25.48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484.40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31.46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6.17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34.61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290.68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18.98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32.19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装载质量6t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510.59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37.80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7.41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41.58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300.16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21.14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33.24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567.93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60.75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11.91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46.82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320.47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25.48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35.49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742.78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73.43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14.40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56.59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361.47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31.89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40.03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888.66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116.75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22.89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89.97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417.82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36.23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46.27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99070912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1031.27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137.88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27.04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106.26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512.36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42.73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56.74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99070913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988.84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149.09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29.24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114.90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543.88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60.23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99070914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载货汽车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1044.22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164.35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32.23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126.66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564.92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53.56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62.56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363.31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34.40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24.45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183.75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12.70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17.27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装载质量4t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542.40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45.04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37.47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333.46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15.49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31.34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555.16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52.65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37.42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333.46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20.70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31.34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装载质量6t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589.48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68.28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12.71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56.43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327.43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22.13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36.26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685.46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109.50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17.53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58.54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369.60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27.79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40.93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856.59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133.83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21.42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71.54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390.01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34.79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43.19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924.09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152.75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24.45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81.66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420.71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39.52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46.59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1018.21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170.33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27.26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91.05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477.96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46.61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52.93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1112.61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198.72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31.81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106.23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517.15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53.70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57.27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99071110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1202.84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231.16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37.00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123.57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545.41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60.70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60.40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615.85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60.97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16.84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79.65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319.73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36.16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30.05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802.57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72.58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19.67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93.02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367.08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45.22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34.50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959.96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123.79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17.13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81.01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474.44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58.59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44.59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1051.06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200.74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27.77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131.37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409.87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76.31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45.39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装载质量25t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1140.83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220.89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35.89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169.76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443.64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65.65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49.13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装载质量30t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1275.77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274.35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37.96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179.54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472.90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106.02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52.37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装载质量40t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1520.98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369.37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51.10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241.72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518.05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135.74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57.37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装载质量50t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1635.52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391.45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54.16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256.17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563.29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165.45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62.38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装载质量60t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1784.97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421.56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58.33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275.88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629.03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195.17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69.66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装载质量80t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2226.75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694.23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63.44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300.07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763.22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200.79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84.52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装载质量100t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2569.57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788.90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64.48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304.97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956.28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249.94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105.90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99071317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平板拖车组</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装载质量150t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3662.08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1123.39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84.55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399.94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1476.41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372.79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163.50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99071505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长材运输车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装载质量9t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697.91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115.91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9.88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57.03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376.73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35.86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41.72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99071506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长材运输车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921.55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166.99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14.24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82.16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406.17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46.99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44.98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99071507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长材运输车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装载质量15t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1045.34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202.45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17.26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99.61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465.59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55.43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51.56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99071704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自装自卸汽车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装载质量6t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768.04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57.98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12.78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54.55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513.91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26.32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48.30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99071706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自装自卸汽车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装载质量8t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857.75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80.63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13.44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57.41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569.56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34.21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53.53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99072105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油罐车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罐容量5000L</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553.94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53.36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44.37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326.01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18.98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30.64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99072106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油罐车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罐容量8000L</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575.46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71.32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11.65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59.30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305.21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25.48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33.80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56"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99072705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管子拖车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载重量24t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1761.66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243.48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31.10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125.63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1106.18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50.27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122.50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56"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99072706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管子拖车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载重量27t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1900.53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328.83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40.55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163.84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1106.18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56.13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122.50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56"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99072707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管子拖车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载重量35t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2010.31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386.06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47.88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193.42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1106.18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71.77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122.50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56"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99072905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壁板运输车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载重量8t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717.78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87.53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11.63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327.70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26.37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36.29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56"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99072906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壁板运输车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载重量15t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1034.34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226.41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15.28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78.22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461.25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48.18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51.08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531.62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64.11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31.74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247.91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19.67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23.30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提升质量8t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708.72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87.59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42.91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88.83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256.72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27.67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28.43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790.69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115.88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47.40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98.12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268.82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55.47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29.77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844.50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132.41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64.87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134.28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275.87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32.07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30.55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提升质量16t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1006.37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175.18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85.83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177.66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323.73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38.97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35.85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1118.32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210.22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102.99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213.20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346.84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40.07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38.41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提升质量25t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1174.12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223.26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109.38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226.42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367.79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42.27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40.73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提升质量30t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1259.29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242.40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118.76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245.84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397.32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49.97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提升质量32t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1259.29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242.40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118.76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245.84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397.32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49.97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提升质量40t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1632.31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371.55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182.04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376.81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438.14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58.77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48.52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提升质量50t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2838.92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655.29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469.06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970.96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468.84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69.77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51.92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提升质量60t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3420.42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1165.16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464.61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961.75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509.47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95.99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56.42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提升质量70t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3906.13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1527.75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492.58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1019.64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539.63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103.09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59.76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提升质量75t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4073.26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1586.82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519.75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1075.88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564.28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103.09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62.49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提升质量80t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4288.13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1690.71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550.34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1139.20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581.35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103.09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64.38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提升质量90t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4566.99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1766.08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602.36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1246.88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609.16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119.07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67.46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99090519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提升质量100t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4935.60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1935.15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650.88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1347.33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659.73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119.07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73.06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99090520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提升质量110t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5771.28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2546.25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714.06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1478.10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681.49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127.94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75.47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99090521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6543.50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3128.83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755.79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1564.48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713.73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157.23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79.04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99090522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提升质量125t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6939.19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3308.90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819.08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1695.50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735.04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157.23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81.40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99090523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提升质量136t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7734.49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3768.45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886.23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1834.49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840.69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181.19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93.10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99090524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汽车式起重机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提升质量150t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8470.81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4059.74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996.39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2062.52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18.44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912.03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216.69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101.00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99132511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沥青路面养护车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EJY5100</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934.10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88.29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84.20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174.28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307.50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247.91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31.92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23.30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容量21kVA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65.00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0.57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53.64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60.27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容量30kVA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90.97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0.92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77.61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87.20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容量32kVA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98.64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0.73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96.53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容量40kVA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135.37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121.31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136.30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容量42kVA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139.66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0.76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126.65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142.30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容量50kVA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153.07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0.86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139.24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156.45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交流弧焊机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容量80kVA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208.93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193.04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216.90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功率10kW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45.90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0.78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32.22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36.20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功率12kW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52.12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0.85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37.74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42.40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功率14kW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59.88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0.96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44.62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50.14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功率15kW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64.81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0.98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55.38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功率20kW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83.53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64.49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72.46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功率30kW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100.65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80.81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90.80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功率32kW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106.35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7.73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83.30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93.60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34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99250328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直流弧焊机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功率40kW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111.91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7.98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86.28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96.94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99250341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自动埋弧焊机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电流500A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121.31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17.94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83.84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94.20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99250342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自动埋弧焊机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电流1200A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214.86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22.18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13.50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170.08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191.10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99250343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自动埋弧焊机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电流1500A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304.21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26.88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251.34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282.40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99250365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氩弧焊机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电流500A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109.87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18.02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14.75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9.84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62.92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70.70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99250705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对焊机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容量10kVA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26.91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0.77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14.58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16.38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99250706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对焊机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容量25kVA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51.44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36.45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40.96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99250707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对焊机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容量75kVA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131.86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7.98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109.38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122.90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99252503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电渣焊机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电流1000A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192.06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33.87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15.82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6.56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130.83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147.00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99252511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半自动电焊机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115.93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0.50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2.10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106.80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120.00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99252517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二氧化碳气体保护焊机</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电流250A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73.53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16.88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20.93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9.84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21.81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24.50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99310103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洒水车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罐容量4000L</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567.21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60.52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12.97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55.64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318.77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16.81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29.96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99310105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洒水车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罐容量8000L</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570.87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67.91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14.55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62.44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297.99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25.48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99310303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清疏两用车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日本MORITA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1648.64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285.46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108.89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141.55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933.88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76.36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103.42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99310307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清疏两用车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美国法克多</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1637.99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274.37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99.00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116.82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969.73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75.57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107.39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5"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99310503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污泥车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2.5t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410.25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26.94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11.92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255.02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11.09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23.97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51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99310507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污泥车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527.21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40.42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8.33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35.75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326.01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14.20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30.64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99370511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路灯高架工程车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14m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639.78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137.96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38.92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80.57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247.91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31.92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23.30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99370512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路灯高架工程车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20m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899.37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198.31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55.95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115.82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268.82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55.47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29.77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99390103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电气实验车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1717.62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744.80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179.00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375.90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102.50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306.82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8.60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28.00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5t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23.96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0.06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30t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52.40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22.17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24.30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0.17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50t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74.99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31.70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8.24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34.75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0.30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60t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96.48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40.82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44.74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0.31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80t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109.35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46.34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12.04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50.62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0.35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100t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132.07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55.87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14.52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61.24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0.44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99410512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120t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388.13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33.59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17.47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328.00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0.34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99410517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甲板驳船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100～200t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388.13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33.59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17.47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328.00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0.34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99410521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油驳</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载重量20t</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362.24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16.79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13.77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246.00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81.27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99410531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开底泥驳</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舱容积60m</w:t>
            </w:r>
            <w:r>
              <w:rPr>
                <w:rFonts w:ascii="宋体" w:hAnsi="宋体" w:cs="宋体"/>
                <w:color w:val="000000"/>
                <w:kern w:val="0"/>
                <w:sz w:val="18"/>
                <w:szCs w:val="18"/>
                <w:vertAlign w:val="superscript"/>
              </w:rPr>
              <w:t>3</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455.48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26.87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410.00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0.07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99410709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内燃拖轮</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功率176kW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1800.63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74.75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85.21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145.01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410.00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1083.60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2.06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120.00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99412501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抓斗式挖泥船</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斗容量1m</w:t>
            </w:r>
            <w:r>
              <w:rPr>
                <w:rFonts w:ascii="宋体" w:hAnsi="宋体" w:cs="宋体"/>
                <w:color w:val="000000"/>
                <w:kern w:val="0"/>
                <w:sz w:val="18"/>
                <w:szCs w:val="18"/>
                <w:vertAlign w:val="superscript"/>
              </w:rPr>
              <w:t>3</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3089.07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176.03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126.74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213.00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2076.90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230.00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99412507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锚艇</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 8.8kW</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480.27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8.83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21.46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328.00 </w:t>
            </w: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117.39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0.44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4.00 </w:t>
            </w: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29.26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20.47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66.51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8.27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46.28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105.92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11.89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77.96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87.60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128.48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11.26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6.48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15.61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92.56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104.00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411.06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24.02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13.83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33.33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337.31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379.00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44.80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35.75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3.36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99430111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89.19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71.50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6.72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99430112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121.01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9.06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95.33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8.96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99430113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157.49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12.00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8.51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15.24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119.17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11.20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99430114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内燃单级离心清水泵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194.07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13.44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16.84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30.14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131.08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12.32 </w:t>
            </w: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32"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99430121</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57.09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40.94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25"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99430122</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出口直径100mm，扬程120m以下</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188.52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9.74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11.28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160.56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180.40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51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出口直径100mm，扬程120m以上</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264.32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11.34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13.12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232.20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260.90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5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出口直径150mm，扬程180m以下</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607.89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24.19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10.85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28.00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542.28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609.30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5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出口直径150mm，扬程180m以上</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1063.41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31.33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14.06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36.27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979.18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1100.20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95"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出口直径200mm，扬程280m以下</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1599.05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35.45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15.90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41.03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1504.10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1690.00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8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99430127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电动多级离心清水泵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出口直径200mm，扬程280m以上</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2824.09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41.75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18.73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48.32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2712.72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3048.00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99430305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污水泵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出口直径70mm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87.22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0.47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1.53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79.83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89.70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99430306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污水泵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124.49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111.25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125.00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99430307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污水泵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218.57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7.66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4.14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202.92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228.00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99430308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污水泵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出口直径200mm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334.30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31.95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17.29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277.15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311.40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99430705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泥浆泵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44.08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2.82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0.54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36.40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40.90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99430707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泥浆泵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240.40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16.03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3.07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9.94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208.79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234.60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99430905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耐腐蚀泵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出口直径40mm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38.86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5.85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21.98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24.70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99430906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耐腐蚀泵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57.63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8.37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10.21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34.59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38.86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99430907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耐腐蚀泵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出口直径80mm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142.39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8.67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10.58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118.61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133.27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99430908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耐腐蚀泵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213.41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9.37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11.44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2.57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187.91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211.14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99431105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真空泵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抽气速度204m</w:t>
            </w:r>
            <w:r>
              <w:rPr>
                <w:rFonts w:ascii="宋体" w:hAnsi="宋体" w:cs="宋体"/>
                <w:color w:val="000000"/>
                <w:kern w:val="0"/>
                <w:sz w:val="18"/>
                <w:szCs w:val="18"/>
                <w:vertAlign w:val="superscript"/>
              </w:rPr>
              <w:t>3</w:t>
            </w:r>
            <w:r>
              <w:rPr>
                <w:rFonts w:ascii="宋体" w:hAnsi="宋体" w:cs="宋体"/>
                <w:color w:val="000000"/>
                <w:kern w:val="0"/>
                <w:sz w:val="18"/>
                <w:szCs w:val="18"/>
              </w:rPr>
              <w:t>/h</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67.20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9.48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4.61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3.08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47.88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53.80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450"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99431106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真空泵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抽气速度660m</w:t>
            </w:r>
            <w:r>
              <w:rPr>
                <w:rFonts w:ascii="宋体" w:hAnsi="宋体" w:cs="宋体"/>
                <w:color w:val="000000"/>
                <w:kern w:val="0"/>
                <w:sz w:val="18"/>
                <w:szCs w:val="18"/>
                <w:vertAlign w:val="superscript"/>
              </w:rPr>
              <w:t>3</w:t>
            </w:r>
            <w:r>
              <w:rPr>
                <w:rFonts w:ascii="宋体" w:hAnsi="宋体" w:cs="宋体"/>
                <w:color w:val="000000"/>
                <w:kern w:val="0"/>
                <w:sz w:val="18"/>
                <w:szCs w:val="18"/>
              </w:rPr>
              <w:t>/h</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130.76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10.68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3.08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109.38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122.90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99431305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潜水泵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29.66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2.18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0.49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22.25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25.00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99431306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潜水泵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63.03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6.70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8.26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44.50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50.00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99431706</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高压油泵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压力50MPa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131.04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5.04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1.14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3.80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119.01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133.72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99431708</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高压油泵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压力80MPa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211.10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9.41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7.09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190.42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213.95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99431903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试压泵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压力25MPa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22.26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3.44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0.78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2.37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13.62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15.30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99431904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试压泵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压力30MPa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22.91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3.61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0.82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2.49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13.94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15.66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99431907</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试压泵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压力60MPa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26.95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3.41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15.41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17.32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99431909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试压泵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压力80MPa</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30.46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6.30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4.34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16.34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18.36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99432103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比例泵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2DB-5/10</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38.73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6.59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3.73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8.89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14.60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16.40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99432104</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比例泵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3DS-1.8/200</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82.05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9.73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4.85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11.55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51.00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57.30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99432105</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比例泵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2DB-3/37</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69.83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13.39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7.16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17.04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4.92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27.32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30.70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99432503</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单级自吸水泵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出口直径150mm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307.15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17.27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2.62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5.28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279.93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31.00 </w:t>
            </w: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99432509</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射流井点泵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最大抽吸深度9.5m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62.60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5.96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1.41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5.25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2.05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47.93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53.85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r>
        <w:tblPrEx>
          <w:tblCellMar>
            <w:top w:w="0" w:type="dxa"/>
            <w:left w:w="108" w:type="dxa"/>
            <w:bottom w:w="0" w:type="dxa"/>
            <w:right w:w="108" w:type="dxa"/>
          </w:tblCellMar>
        </w:tblPrEx>
        <w:trPr>
          <w:trHeight w:val="288" w:hRule="atLeast"/>
        </w:trPr>
        <w:tc>
          <w:tcPr>
            <w:tcW w:w="9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99432510</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衬胶泵</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left"/>
              <w:rPr>
                <w:rFonts w:ascii="宋体" w:hAnsi="宋体" w:cs="宋体"/>
                <w:color w:val="000000"/>
                <w:kern w:val="0"/>
                <w:sz w:val="18"/>
                <w:szCs w:val="18"/>
              </w:rPr>
            </w:pPr>
            <w:r>
              <w:rPr>
                <w:rFonts w:hint="eastAsia" w:ascii="宋体" w:hAnsi="宋体" w:cs="宋体"/>
                <w:color w:val="000000"/>
                <w:kern w:val="0"/>
                <w:sz w:val="18"/>
                <w:szCs w:val="18"/>
              </w:rPr>
              <w:t>出口直径100mm</w:t>
            </w:r>
          </w:p>
        </w:tc>
        <w:tc>
          <w:tcPr>
            <w:tcW w:w="99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231.51 </w:t>
            </w:r>
          </w:p>
        </w:tc>
        <w:tc>
          <w:tcPr>
            <w:tcW w:w="90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14.11 </w:t>
            </w:r>
          </w:p>
        </w:tc>
        <w:tc>
          <w:tcPr>
            <w:tcW w:w="9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2.92 </w:t>
            </w:r>
          </w:p>
        </w:tc>
        <w:tc>
          <w:tcPr>
            <w:tcW w:w="93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5.85 </w:t>
            </w:r>
          </w:p>
        </w:tc>
        <w:tc>
          <w:tcPr>
            <w:tcW w:w="79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8.20 </w:t>
            </w:r>
          </w:p>
        </w:tc>
        <w:tc>
          <w:tcPr>
            <w:tcW w:w="86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200.43 </w:t>
            </w:r>
          </w:p>
        </w:tc>
        <w:tc>
          <w:tcPr>
            <w:tcW w:w="9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0.00 </w:t>
            </w:r>
          </w:p>
        </w:tc>
        <w:tc>
          <w:tcPr>
            <w:tcW w:w="7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82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1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88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r>
              <w:rPr>
                <w:rFonts w:hint="eastAsia" w:ascii="宋体" w:hAnsi="宋体" w:cs="宋体"/>
                <w:color w:val="000000"/>
                <w:kern w:val="0"/>
                <w:sz w:val="18"/>
                <w:szCs w:val="18"/>
              </w:rPr>
              <w:t xml:space="preserve">225.20 </w:t>
            </w: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ascii="宋体" w:hAnsi="宋体" w:cs="宋体"/>
                <w:color w:val="000000"/>
                <w:kern w:val="0"/>
                <w:sz w:val="18"/>
                <w:szCs w:val="18"/>
              </w:rPr>
            </w:pPr>
          </w:p>
        </w:tc>
        <w:tc>
          <w:tcPr>
            <w:tcW w:w="57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c>
          <w:tcPr>
            <w:tcW w:w="630"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right"/>
              <w:rPr>
                <w:rFonts w:eastAsia="Times New Roman"/>
                <w:kern w:val="0"/>
                <w:sz w:val="20"/>
              </w:rPr>
            </w:pPr>
          </w:p>
        </w:tc>
      </w:tr>
    </w:tbl>
    <w:p>
      <w:pPr>
        <w:ind w:firstLine="560"/>
        <w:jc w:val="left"/>
        <w:rPr>
          <w:kern w:val="0"/>
        </w:rPr>
        <w:sectPr>
          <w:pgSz w:w="16838" w:h="11906" w:orient="landscape"/>
          <w:pgMar w:top="1287" w:right="1440" w:bottom="1440" w:left="1440" w:header="851" w:footer="992" w:gutter="0"/>
          <w:pgNumType w:fmt="decimal"/>
          <w:cols w:space="720" w:num="1"/>
          <w:docGrid w:type="linesAndChars" w:linePitch="312" w:charSpace="0"/>
        </w:sectPr>
      </w:pPr>
    </w:p>
    <w:p>
      <w:pPr>
        <w:pStyle w:val="5"/>
      </w:pPr>
      <w:bookmarkStart w:id="2059" w:name="_Toc6258"/>
      <w:bookmarkStart w:id="2060" w:name="_Toc27392"/>
      <w:bookmarkStart w:id="2061" w:name="_Toc13020"/>
      <w:bookmarkStart w:id="2062" w:name="_Toc26670"/>
      <w:bookmarkStart w:id="2063" w:name="_Toc17845"/>
      <w:bookmarkStart w:id="2064" w:name="_Toc28839"/>
      <w:bookmarkStart w:id="2065" w:name="_Toc16584"/>
      <w:r>
        <w:rPr>
          <w:rFonts w:hint="eastAsia"/>
        </w:rPr>
        <w:t>苏州市工程造价管理处</w:t>
      </w:r>
      <w:bookmarkEnd w:id="2059"/>
      <w:bookmarkEnd w:id="2060"/>
      <w:bookmarkEnd w:id="2061"/>
      <w:bookmarkEnd w:id="2062"/>
      <w:bookmarkEnd w:id="2063"/>
      <w:bookmarkEnd w:id="2064"/>
      <w:bookmarkEnd w:id="2065"/>
    </w:p>
    <w:p>
      <w:pPr>
        <w:pStyle w:val="5"/>
      </w:pPr>
    </w:p>
    <w:p>
      <w:pPr>
        <w:pStyle w:val="4"/>
      </w:pPr>
      <w:bookmarkStart w:id="2066" w:name="_Toc7470"/>
      <w:bookmarkStart w:id="2067" w:name="_Toc12282"/>
      <w:bookmarkStart w:id="2068" w:name="_Toc29035"/>
      <w:bookmarkStart w:id="2069" w:name="_Toc4203"/>
      <w:bookmarkStart w:id="2070" w:name="_Toc10129"/>
      <w:bookmarkStart w:id="2071" w:name="_Toc453"/>
      <w:bookmarkStart w:id="2072" w:name="_Toc32188"/>
      <w:bookmarkStart w:id="2073" w:name="_Toc5756"/>
      <w:bookmarkStart w:id="2074" w:name="_Toc12885"/>
      <w:bookmarkStart w:id="2075" w:name="_Toc18391"/>
      <w:bookmarkStart w:id="2076" w:name="_Toc16401"/>
      <w:r>
        <w:rPr>
          <w:rFonts w:hint="eastAsia"/>
        </w:rPr>
        <w:t>苏工价〔2015〕14号</w:t>
      </w:r>
      <w:bookmarkEnd w:id="2066"/>
      <w:bookmarkEnd w:id="2067"/>
      <w:bookmarkEnd w:id="2068"/>
      <w:bookmarkEnd w:id="2069"/>
      <w:bookmarkEnd w:id="2070"/>
      <w:bookmarkEnd w:id="2071"/>
      <w:bookmarkEnd w:id="2072"/>
      <w:bookmarkEnd w:id="2073"/>
      <w:bookmarkEnd w:id="2074"/>
      <w:bookmarkEnd w:id="2075"/>
      <w:bookmarkEnd w:id="2076"/>
    </w:p>
    <w:p>
      <w:pPr>
        <w:ind w:firstLine="560"/>
      </w:pPr>
    </w:p>
    <w:p>
      <w:pPr>
        <w:ind w:firstLine="0" w:firstLineChars="0"/>
        <w:jc w:val="center"/>
        <w:rPr>
          <w:rFonts w:ascii="黑体" w:hAnsi="黑体" w:eastAsia="黑体"/>
          <w:color w:val="FF0000"/>
          <w:sz w:val="32"/>
          <w:szCs w:val="32"/>
        </w:rPr>
      </w:pPr>
      <w:r>
        <w:fldChar w:fldCharType="begin"/>
      </w:r>
      <w:r>
        <w:instrText xml:space="preserve"> INCLUDEPICTURE "C:\\Users\\ADMINI~1\\AppData\\Local\\Temp\\ksohtml\\wpsADB1.tmp.png" \* MERGEFORMATINET </w:instrText>
      </w:r>
      <w:r>
        <w:fldChar w:fldCharType="separate"/>
      </w:r>
      <w:r>
        <w:drawing>
          <wp:inline distT="0" distB="0" distL="114300" distR="114300">
            <wp:extent cx="2408555" cy="8255"/>
            <wp:effectExtent l="0" t="0" r="0" b="0"/>
            <wp:docPr id="95" name="图片 8" descr="wpsA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descr="wpsADB1"/>
                    <pic:cNvPicPr>
                      <a:picLocks noChangeAspect="1"/>
                    </pic:cNvPicPr>
                  </pic:nvPicPr>
                  <pic:blipFill>
                    <a:blip r:embed="rId145"/>
                    <a:stretch>
                      <a:fillRect/>
                    </a:stretch>
                  </pic:blipFill>
                  <pic:spPr>
                    <a:xfrm>
                      <a:off x="0" y="0"/>
                      <a:ext cx="2408555" cy="8255"/>
                    </a:xfrm>
                    <a:prstGeom prst="rect">
                      <a:avLst/>
                    </a:prstGeom>
                    <a:noFill/>
                    <a:ln>
                      <a:noFill/>
                    </a:ln>
                  </pic:spPr>
                </pic:pic>
              </a:graphicData>
            </a:graphic>
          </wp:inline>
        </w:drawing>
      </w:r>
      <w:r>
        <w:fldChar w:fldCharType="end"/>
      </w:r>
      <w:r>
        <w:rPr>
          <w:rFonts w:hint="eastAsia" w:ascii="黑体" w:hAnsi="黑体" w:eastAsia="黑体"/>
          <w:color w:val="FF0000"/>
          <w:sz w:val="32"/>
          <w:szCs w:val="32"/>
        </w:rPr>
        <w:t>★</w:t>
      </w:r>
      <w:r>
        <w:fldChar w:fldCharType="begin"/>
      </w:r>
      <w:r>
        <w:instrText xml:space="preserve"> INCLUDEPICTURE "C:\\Users\\ADMINI~1\\AppData\\Local\\Temp\\ksohtml\\wpsADA0.tmp.png" \* MERGEFORMATINET </w:instrText>
      </w:r>
      <w:r>
        <w:fldChar w:fldCharType="separate"/>
      </w:r>
      <w:r>
        <w:drawing>
          <wp:inline distT="0" distB="0" distL="114300" distR="114300">
            <wp:extent cx="2296160" cy="8255"/>
            <wp:effectExtent l="0" t="0" r="0" b="0"/>
            <wp:docPr id="96" name="图片 9" descr="wps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descr="wpsADA0"/>
                    <pic:cNvPicPr>
                      <a:picLocks noChangeAspect="1"/>
                    </pic:cNvPicPr>
                  </pic:nvPicPr>
                  <pic:blipFill>
                    <a:blip r:embed="rId144"/>
                    <a:stretch>
                      <a:fillRect/>
                    </a:stretch>
                  </pic:blipFill>
                  <pic:spPr>
                    <a:xfrm>
                      <a:off x="0" y="0"/>
                      <a:ext cx="2296160" cy="8255"/>
                    </a:xfrm>
                    <a:prstGeom prst="rect">
                      <a:avLst/>
                    </a:prstGeom>
                    <a:noFill/>
                    <a:ln>
                      <a:noFill/>
                    </a:ln>
                  </pic:spPr>
                </pic:pic>
              </a:graphicData>
            </a:graphic>
          </wp:inline>
        </w:drawing>
      </w:r>
      <w:r>
        <w:fldChar w:fldCharType="end"/>
      </w:r>
    </w:p>
    <w:p>
      <w:pPr>
        <w:pStyle w:val="3"/>
      </w:pPr>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2077" w:name="_Toc5158"/>
      <w:bookmarkStart w:id="2078" w:name="_Toc4559"/>
      <w:bookmarkStart w:id="2079" w:name="_Toc10573"/>
      <w:bookmarkStart w:id="2080" w:name="_Toc19929"/>
      <w:bookmarkStart w:id="2081" w:name="_Toc4768"/>
      <w:bookmarkStart w:id="2082" w:name="_Toc4416"/>
      <w:bookmarkStart w:id="2083" w:name="_Toc409"/>
      <w:bookmarkStart w:id="2084" w:name="_Toc31714"/>
      <w:bookmarkStart w:id="2085" w:name="_Toc29154"/>
      <w:bookmarkStart w:id="2086" w:name="_Toc17658"/>
      <w:bookmarkStart w:id="2087" w:name="_Toc19735"/>
      <w:bookmarkStart w:id="2088" w:name="_Toc32518"/>
      <w:bookmarkStart w:id="2089" w:name="_Toc21367"/>
      <w:bookmarkStart w:id="2090" w:name="_Toc28718"/>
      <w:r>
        <w:rPr>
          <w:rFonts w:hint="eastAsia"/>
        </w:rPr>
        <w:t>关于合理调整因实施《苏州建筑工地管理质量提升行动专项治理方案》而停工的工程施工工期的通知</w:t>
      </w:r>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p>
    <w:p>
      <w:pPr>
        <w:pStyle w:val="3"/>
      </w:pPr>
      <w:r>
        <w:t xml:space="preserve"> </w:t>
      </w:r>
    </w:p>
    <w:p>
      <w:pPr>
        <w:ind w:firstLine="0" w:firstLineChars="0"/>
      </w:pPr>
      <w:r>
        <w:t>各建设、施工、咨询单位：</w:t>
      </w:r>
    </w:p>
    <w:p>
      <w:pPr>
        <w:ind w:firstLine="560"/>
      </w:pPr>
      <w:r>
        <w:rPr>
          <w:rFonts w:hint="eastAsia"/>
        </w:rPr>
        <w:t>根据市政府办公室转发的《苏州建筑工地管理质量提升行动专项治理方案》的通知（苏府办[2015]206号）规定，在专项治理范围内的建筑工地，11月13日0时至11月25日24时停止施工。</w:t>
      </w:r>
      <w:r>
        <w:t>现就由此引起的工期顺延问题，提出如下指导意见：</w:t>
      </w:r>
    </w:p>
    <w:p>
      <w:pPr>
        <w:ind w:firstLine="560"/>
      </w:pPr>
      <w:r>
        <w:t>一、合同开工日期在20</w:t>
      </w:r>
      <w:r>
        <w:rPr>
          <w:rFonts w:hint="eastAsia"/>
        </w:rPr>
        <w:t>15</w:t>
      </w:r>
      <w:r>
        <w:t>年</w:t>
      </w:r>
      <w:r>
        <w:rPr>
          <w:rFonts w:hint="eastAsia"/>
        </w:rPr>
        <w:t>11</w:t>
      </w:r>
      <w:r>
        <w:t>月1</w:t>
      </w:r>
      <w:r>
        <w:rPr>
          <w:rFonts w:hint="eastAsia"/>
        </w:rPr>
        <w:t>3</w:t>
      </w:r>
      <w:r>
        <w:t>日以前且竣工日期在20</w:t>
      </w:r>
      <w:r>
        <w:rPr>
          <w:rFonts w:hint="eastAsia"/>
        </w:rPr>
        <w:t>15</w:t>
      </w:r>
      <w:r>
        <w:t>年</w:t>
      </w:r>
      <w:r>
        <w:rPr>
          <w:rFonts w:hint="eastAsia"/>
        </w:rPr>
        <w:t>11</w:t>
      </w:r>
      <w:r>
        <w:t>月</w:t>
      </w:r>
      <w:r>
        <w:rPr>
          <w:rFonts w:hint="eastAsia"/>
        </w:rPr>
        <w:t>25</w:t>
      </w:r>
      <w:r>
        <w:t>日以后的工程，工期顺延</w:t>
      </w:r>
      <w:r>
        <w:rPr>
          <w:rFonts w:hint="eastAsia"/>
        </w:rPr>
        <w:t>13</w:t>
      </w:r>
      <w:r>
        <w:t>天。</w:t>
      </w:r>
    </w:p>
    <w:p>
      <w:pPr>
        <w:ind w:firstLine="560"/>
      </w:pPr>
      <w:r>
        <w:t>二、合同开工日期在20</w:t>
      </w:r>
      <w:r>
        <w:rPr>
          <w:rFonts w:hint="eastAsia"/>
        </w:rPr>
        <w:t>15</w:t>
      </w:r>
      <w:r>
        <w:t>年</w:t>
      </w:r>
      <w:r>
        <w:rPr>
          <w:rFonts w:hint="eastAsia"/>
        </w:rPr>
        <w:t>11</w:t>
      </w:r>
      <w:r>
        <w:t>月1</w:t>
      </w:r>
      <w:r>
        <w:rPr>
          <w:rFonts w:hint="eastAsia"/>
        </w:rPr>
        <w:t>3</w:t>
      </w:r>
      <w:r>
        <w:t>日以后，或竣工日期在20</w:t>
      </w:r>
      <w:r>
        <w:rPr>
          <w:rFonts w:hint="eastAsia"/>
        </w:rPr>
        <w:t>15</w:t>
      </w:r>
      <w:r>
        <w:t>年</w:t>
      </w:r>
      <w:r>
        <w:rPr>
          <w:rFonts w:hint="eastAsia"/>
        </w:rPr>
        <w:t>11</w:t>
      </w:r>
      <w:r>
        <w:t>月</w:t>
      </w:r>
      <w:r>
        <w:rPr>
          <w:rFonts w:hint="eastAsia"/>
        </w:rPr>
        <w:t>25</w:t>
      </w:r>
      <w:r>
        <w:t>日以前的工程，按其在20</w:t>
      </w:r>
      <w:r>
        <w:rPr>
          <w:rFonts w:hint="eastAsia"/>
        </w:rPr>
        <w:t>15</w:t>
      </w:r>
      <w:r>
        <w:t>年</w:t>
      </w:r>
      <w:r>
        <w:rPr>
          <w:rFonts w:hint="eastAsia"/>
        </w:rPr>
        <w:t>11</w:t>
      </w:r>
      <w:r>
        <w:t>月1</w:t>
      </w:r>
      <w:r>
        <w:rPr>
          <w:rFonts w:hint="eastAsia"/>
        </w:rPr>
        <w:t>3</w:t>
      </w:r>
      <w:r>
        <w:t>日至20</w:t>
      </w:r>
      <w:r>
        <w:rPr>
          <w:rFonts w:hint="eastAsia"/>
        </w:rPr>
        <w:t>15</w:t>
      </w:r>
      <w:r>
        <w:t>年</w:t>
      </w:r>
      <w:r>
        <w:rPr>
          <w:rFonts w:hint="eastAsia"/>
        </w:rPr>
        <w:t>11</w:t>
      </w:r>
      <w:r>
        <w:t>月</w:t>
      </w:r>
      <w:r>
        <w:rPr>
          <w:rFonts w:hint="eastAsia"/>
        </w:rPr>
        <w:t>25</w:t>
      </w:r>
      <w:r>
        <w:t>日之间的施工天数</w:t>
      </w:r>
      <w:r>
        <w:rPr>
          <w:rFonts w:hint="eastAsia"/>
        </w:rPr>
        <w:t>，作相应</w:t>
      </w:r>
      <w:r>
        <w:t>顺延。</w:t>
      </w:r>
    </w:p>
    <w:p>
      <w:pPr>
        <w:ind w:firstLine="560"/>
      </w:pPr>
      <w:r>
        <w:t>三、承、发包双方应根据本文意见，就</w:t>
      </w:r>
      <w:r>
        <w:rPr>
          <w:rFonts w:hint="eastAsia"/>
        </w:rPr>
        <w:t>停工期间</w:t>
      </w:r>
      <w:r>
        <w:t>工期顺延问题及时协商，签订补充合同或协议，相应顺延施工工期。</w:t>
      </w:r>
    </w:p>
    <w:p>
      <w:pPr>
        <w:ind w:firstLine="560"/>
      </w:pPr>
      <w:r>
        <w:t xml:space="preserve">    </w:t>
      </w:r>
      <w:r>
        <w:rPr>
          <w:rFonts w:hint="eastAsia"/>
        </w:rPr>
        <w:t xml:space="preserve">                                </w:t>
      </w:r>
      <w:r>
        <w:t>二</w:t>
      </w:r>
      <w:r>
        <w:rPr>
          <w:rFonts w:hint="eastAsia"/>
        </w:rPr>
        <w:t>○一五</w:t>
      </w:r>
      <w:r>
        <w:t>年</w:t>
      </w:r>
      <w:r>
        <w:rPr>
          <w:rFonts w:hint="eastAsia"/>
        </w:rPr>
        <w:t>十二</w:t>
      </w:r>
      <w:r>
        <w:t>月</w:t>
      </w:r>
      <w:r>
        <w:rPr>
          <w:rFonts w:hint="eastAsia"/>
        </w:rPr>
        <w:t>四</w:t>
      </w:r>
      <w:r>
        <w:t>日</w:t>
      </w:r>
    </w:p>
    <w:p>
      <w:pPr>
        <w:pStyle w:val="5"/>
        <w:rPr>
          <w:rStyle w:val="29"/>
          <w:bCs/>
        </w:rPr>
      </w:pPr>
      <w:r>
        <w:br w:type="page"/>
      </w:r>
      <w:bookmarkStart w:id="2091" w:name="_Toc28369"/>
      <w:bookmarkStart w:id="2092" w:name="_Toc13650"/>
      <w:bookmarkStart w:id="2093" w:name="_Toc21997"/>
      <w:bookmarkStart w:id="2094" w:name="_Toc4646"/>
      <w:bookmarkStart w:id="2095" w:name="_Toc19390"/>
      <w:bookmarkStart w:id="2096" w:name="_Toc5006"/>
      <w:bookmarkStart w:id="2097" w:name="_Toc32121"/>
      <w:r>
        <w:rPr>
          <w:rStyle w:val="29"/>
          <w:rFonts w:hint="eastAsia"/>
          <w:bCs/>
        </w:rPr>
        <w:t>苏州市工程造价管理处</w:t>
      </w:r>
      <w:bookmarkEnd w:id="2091"/>
      <w:bookmarkEnd w:id="2092"/>
      <w:bookmarkEnd w:id="2093"/>
      <w:bookmarkEnd w:id="2094"/>
      <w:bookmarkEnd w:id="2095"/>
      <w:bookmarkEnd w:id="2096"/>
      <w:bookmarkEnd w:id="2097"/>
    </w:p>
    <w:p>
      <w:pPr>
        <w:pStyle w:val="5"/>
      </w:pPr>
    </w:p>
    <w:p>
      <w:pPr>
        <w:pStyle w:val="4"/>
      </w:pPr>
      <w:r>
        <w:rPr>
          <w:rFonts w:hint="eastAsia"/>
        </w:rPr>
        <w:t xml:space="preserve">  </w:t>
      </w:r>
      <w:bookmarkStart w:id="2098" w:name="_Toc1741"/>
      <w:bookmarkStart w:id="2099" w:name="_Toc5256"/>
      <w:bookmarkStart w:id="2100" w:name="_Toc9879"/>
      <w:bookmarkStart w:id="2101" w:name="_Toc2567"/>
      <w:bookmarkStart w:id="2102" w:name="_Toc30644"/>
      <w:bookmarkStart w:id="2103" w:name="_Toc20056"/>
      <w:bookmarkStart w:id="2104" w:name="_Toc29234"/>
      <w:bookmarkStart w:id="2105" w:name="_Toc26191"/>
      <w:bookmarkStart w:id="2106" w:name="_Toc3624"/>
      <w:bookmarkStart w:id="2107" w:name="_Toc9608"/>
      <w:bookmarkStart w:id="2108" w:name="_Toc21821"/>
      <w:r>
        <w:rPr>
          <w:rFonts w:hint="eastAsia"/>
        </w:rPr>
        <w:t>苏工价〔2017〕6号</w:t>
      </w:r>
      <w:bookmarkEnd w:id="2098"/>
      <w:bookmarkEnd w:id="2099"/>
      <w:bookmarkEnd w:id="2100"/>
      <w:bookmarkEnd w:id="2101"/>
      <w:bookmarkEnd w:id="2102"/>
      <w:bookmarkEnd w:id="2103"/>
      <w:bookmarkEnd w:id="2104"/>
      <w:bookmarkEnd w:id="2105"/>
      <w:bookmarkEnd w:id="2106"/>
      <w:bookmarkEnd w:id="2107"/>
      <w:bookmarkEnd w:id="2108"/>
    </w:p>
    <w:p>
      <w:pPr>
        <w:ind w:firstLine="560"/>
      </w:pPr>
    </w:p>
    <w:p>
      <w:pPr>
        <w:ind w:firstLine="0" w:firstLineChars="0"/>
        <w:jc w:val="center"/>
        <w:rPr>
          <w:rFonts w:ascii="黑体" w:hAnsi="黑体" w:eastAsia="黑体"/>
          <w:color w:val="FF0000"/>
          <w:sz w:val="32"/>
          <w:szCs w:val="32"/>
        </w:rPr>
      </w:pPr>
      <w:r>
        <w:rPr>
          <w:rFonts w:hint="eastAsia" w:ascii="宋体" w:hAnsi="宋体"/>
          <w:szCs w:val="28"/>
        </w:rPr>
        <w:t xml:space="preserve"> </w:t>
      </w:r>
      <w:r>
        <w:fldChar w:fldCharType="begin"/>
      </w:r>
      <w:r>
        <w:instrText xml:space="preserve"> INCLUDEPICTURE "C:\\Users\\ADMINI~1\\AppData\\Local\\Temp\\ksohtml\\wpsADB1.tmp.png" \* MERGEFORMATINET </w:instrText>
      </w:r>
      <w:r>
        <w:fldChar w:fldCharType="separate"/>
      </w:r>
      <w:r>
        <w:drawing>
          <wp:inline distT="0" distB="0" distL="114300" distR="114300">
            <wp:extent cx="2408555" cy="8255"/>
            <wp:effectExtent l="0" t="0" r="0" b="0"/>
            <wp:docPr id="98" name="图片 8" descr="wpsA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 descr="wpsADB1"/>
                    <pic:cNvPicPr>
                      <a:picLocks noChangeAspect="1"/>
                    </pic:cNvPicPr>
                  </pic:nvPicPr>
                  <pic:blipFill>
                    <a:blip r:embed="rId145"/>
                    <a:stretch>
                      <a:fillRect/>
                    </a:stretch>
                  </pic:blipFill>
                  <pic:spPr>
                    <a:xfrm>
                      <a:off x="0" y="0"/>
                      <a:ext cx="2408555" cy="8255"/>
                    </a:xfrm>
                    <a:prstGeom prst="rect">
                      <a:avLst/>
                    </a:prstGeom>
                    <a:noFill/>
                    <a:ln>
                      <a:noFill/>
                    </a:ln>
                  </pic:spPr>
                </pic:pic>
              </a:graphicData>
            </a:graphic>
          </wp:inline>
        </w:drawing>
      </w:r>
      <w:r>
        <w:fldChar w:fldCharType="end"/>
      </w:r>
      <w:r>
        <w:rPr>
          <w:rFonts w:hint="eastAsia" w:ascii="黑体" w:hAnsi="黑体" w:eastAsia="黑体"/>
          <w:color w:val="FF0000"/>
          <w:sz w:val="32"/>
          <w:szCs w:val="32"/>
        </w:rPr>
        <w:t>★</w:t>
      </w:r>
      <w:r>
        <w:fldChar w:fldCharType="begin"/>
      </w:r>
      <w:r>
        <w:instrText xml:space="preserve"> INCLUDEPICTURE "C:\\Users\\ADMINI~1\\AppData\\Local\\Temp\\ksohtml\\wpsADA0.tmp.png" \* MERGEFORMATINET </w:instrText>
      </w:r>
      <w:r>
        <w:fldChar w:fldCharType="separate"/>
      </w:r>
      <w:r>
        <w:drawing>
          <wp:inline distT="0" distB="0" distL="114300" distR="114300">
            <wp:extent cx="2296160" cy="8255"/>
            <wp:effectExtent l="0" t="0" r="0" b="0"/>
            <wp:docPr id="99" name="图片 9" descr="wps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 descr="wpsADA0"/>
                    <pic:cNvPicPr>
                      <a:picLocks noChangeAspect="1"/>
                    </pic:cNvPicPr>
                  </pic:nvPicPr>
                  <pic:blipFill>
                    <a:blip r:embed="rId144"/>
                    <a:stretch>
                      <a:fillRect/>
                    </a:stretch>
                  </pic:blipFill>
                  <pic:spPr>
                    <a:xfrm>
                      <a:off x="0" y="0"/>
                      <a:ext cx="2296160" cy="8255"/>
                    </a:xfrm>
                    <a:prstGeom prst="rect">
                      <a:avLst/>
                    </a:prstGeom>
                    <a:noFill/>
                    <a:ln>
                      <a:noFill/>
                    </a:ln>
                  </pic:spPr>
                </pic:pic>
              </a:graphicData>
            </a:graphic>
          </wp:inline>
        </w:drawing>
      </w:r>
      <w:r>
        <w:fldChar w:fldCharType="end"/>
      </w:r>
    </w:p>
    <w:p>
      <w:pPr>
        <w:ind w:firstLine="560"/>
        <w:rPr>
          <w:rFonts w:ascii="宋体" w:hAnsi="宋体"/>
          <w:szCs w:val="28"/>
        </w:rPr>
      </w:pPr>
    </w:p>
    <w:p>
      <w:pPr>
        <w:pStyle w:val="3"/>
      </w:pPr>
      <w:bookmarkStart w:id="2109" w:name="_Toc14103"/>
      <w:bookmarkStart w:id="2110" w:name="_Toc27496"/>
      <w:bookmarkStart w:id="2111" w:name="_Toc14180"/>
      <w:bookmarkStart w:id="2112" w:name="_Toc1890"/>
      <w:bookmarkStart w:id="2113" w:name="_Toc1148"/>
      <w:bookmarkStart w:id="2114" w:name="_Toc14028"/>
      <w:bookmarkStart w:id="2115" w:name="_Toc3554"/>
      <w:bookmarkStart w:id="2116" w:name="_Toc21521"/>
      <w:bookmarkStart w:id="2117" w:name="_Toc11561"/>
      <w:bookmarkStart w:id="2118" w:name="_Toc3191"/>
      <w:bookmarkStart w:id="2119" w:name="_Toc20210"/>
      <w:bookmarkStart w:id="2120" w:name="_Toc10472"/>
      <w:bookmarkStart w:id="2121" w:name="_Toc32643"/>
      <w:bookmarkStart w:id="2122" w:name="_Toc392"/>
      <w:r>
        <w:rPr>
          <w:rFonts w:hint="eastAsia"/>
        </w:rPr>
        <w:t>关于调整苏州市预拌混凝土和预拌砂浆指导价发布水平的通知</w:t>
      </w:r>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p>
    <w:p>
      <w:pPr>
        <w:ind w:firstLine="560"/>
        <w:rPr>
          <w:szCs w:val="28"/>
        </w:rPr>
      </w:pPr>
      <w:r>
        <w:rPr>
          <w:szCs w:val="28"/>
        </w:rPr>
        <w:t xml:space="preserve"> </w:t>
      </w:r>
    </w:p>
    <w:p>
      <w:pPr>
        <w:ind w:firstLine="0" w:firstLineChars="0"/>
      </w:pPr>
      <w:r>
        <w:rPr>
          <w:rFonts w:hint="eastAsia"/>
        </w:rPr>
        <w:t>各有关单位：</w:t>
      </w:r>
    </w:p>
    <w:p>
      <w:pPr>
        <w:ind w:firstLine="560"/>
      </w:pPr>
      <w:r>
        <w:rPr>
          <w:rFonts w:hint="eastAsia"/>
        </w:rPr>
        <w:t>根据省造价管理总站对各地造价管理的要求，为更好地发挥材料指导价在工程计价中的指导性作用，本着指导价能真实反映市场价格、促进建材行业健康发展，合理指导工程计价的原则，我处将于2017年6月底按新的水平发布预拌混凝土、预拌砂浆指导价。为确保建筑市场稳定，保障建设各方合法权益，使指导价价格发布水平的调整能平稳过渡，对预拌混凝土、预拌砂浆指导价的执行作以下规定：</w:t>
      </w:r>
    </w:p>
    <w:p>
      <w:pPr>
        <w:ind w:firstLine="560"/>
      </w:pPr>
      <w:r>
        <w:rPr>
          <w:rFonts w:hint="eastAsia"/>
        </w:rPr>
        <w:t xml:space="preserve">一、建设工程施工合同约定的材料调差基准期为2017年6月之前，施工期间包括2017年6月及之后月份的，2017年6月及之后的预拌混凝土按当月同标号预拌混凝土指导价乘1.21、预拌砂浆按当月同标号预拌砂浆指导价乘1.18，作为该月原价格水平指导价参与施工期间指导价的平均。 </w:t>
      </w:r>
    </w:p>
    <w:p>
      <w:pPr>
        <w:ind w:firstLine="560"/>
      </w:pPr>
      <w:r>
        <w:rPr>
          <w:rFonts w:hint="eastAsia"/>
        </w:rPr>
        <w:t>二、在2017年6月底指导价发布之前，按原指导价水平确定下浮比例而签定的预拌混凝土、预拌砂浆购销合同，2017年6月及之后的预拌混凝土按当月同标号预拌混凝土指导价乘1.21、预拌砂浆按当月同标号预拌砂浆指导价乘1.18，作为该月原价格水平指导价进行结算。</w:t>
      </w:r>
    </w:p>
    <w:p>
      <w:pPr>
        <w:ind w:firstLine="560"/>
      </w:pPr>
      <w:r>
        <w:rPr>
          <w:rFonts w:hint="eastAsia"/>
        </w:rPr>
        <w:t>请建设、施工、材料供应等单位在确定招标控制价、投标报价、签订购销合同时充分考虑该指导价水平调整因素，以减少风险和损失。</w:t>
      </w:r>
    </w:p>
    <w:p>
      <w:pPr>
        <w:ind w:firstLine="560"/>
      </w:pPr>
      <w:r>
        <w:t xml:space="preserve"> </w:t>
      </w:r>
    </w:p>
    <w:p>
      <w:pPr>
        <w:ind w:firstLine="560"/>
      </w:pPr>
      <w:r>
        <w:t xml:space="preserve"> </w:t>
      </w:r>
    </w:p>
    <w:p>
      <w:pPr>
        <w:ind w:firstLine="560"/>
      </w:pPr>
      <w:r>
        <w:t xml:space="preserve"> </w:t>
      </w:r>
    </w:p>
    <w:p>
      <w:pPr>
        <w:ind w:firstLine="560"/>
      </w:pPr>
      <w:r>
        <w:rPr>
          <w:rFonts w:hint="eastAsia"/>
        </w:rPr>
        <w:t xml:space="preserve"> </w:t>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苏州市工程造价管理处</w:t>
      </w:r>
    </w:p>
    <w:p>
      <w:pPr>
        <w:ind w:firstLine="560"/>
      </w:pPr>
      <w:r>
        <w:rPr>
          <w:rFonts w:hint="eastAsia"/>
        </w:rPr>
        <w:t xml:space="preserve">                                     2017年6月6 日</w:t>
      </w:r>
    </w:p>
    <w:p>
      <w:pPr>
        <w:pStyle w:val="11"/>
        <w:spacing w:line="360" w:lineRule="auto"/>
        <w:ind w:firstLine="460"/>
        <w:jc w:val="center"/>
        <w:outlineLvl w:val="0"/>
        <w:rPr>
          <w:rStyle w:val="29"/>
        </w:rPr>
      </w:pPr>
      <w:r>
        <w:rPr>
          <w:rFonts w:ascii="Arial" w:hAnsi="Arial" w:cs="Arial"/>
          <w:color w:val="000000"/>
          <w:kern w:val="0"/>
          <w:sz w:val="23"/>
          <w:szCs w:val="23"/>
        </w:rPr>
        <w:br w:type="page"/>
      </w:r>
      <w:bookmarkStart w:id="2123" w:name="_Toc22655"/>
      <w:bookmarkStart w:id="2124" w:name="_Toc12745"/>
      <w:bookmarkStart w:id="2125" w:name="_Toc22663"/>
      <w:bookmarkStart w:id="2126" w:name="_Toc894"/>
      <w:bookmarkStart w:id="2127" w:name="_Toc27319"/>
      <w:bookmarkStart w:id="2128" w:name="_Toc444"/>
      <w:bookmarkStart w:id="2129" w:name="_Toc6598"/>
      <w:bookmarkStart w:id="2130" w:name="_Toc14066"/>
      <w:bookmarkStart w:id="2131" w:name="_Toc539"/>
      <w:bookmarkStart w:id="2132" w:name="_Toc4158"/>
      <w:bookmarkStart w:id="2133" w:name="_Toc28197"/>
      <w:bookmarkStart w:id="2134" w:name="_Toc6858"/>
      <w:bookmarkStart w:id="2135" w:name="_Toc11127"/>
      <w:r>
        <w:rPr>
          <w:rStyle w:val="29"/>
          <w:rFonts w:hint="eastAsia"/>
        </w:rPr>
        <w:t>苏州市工程造价管理处</w:t>
      </w:r>
      <w:bookmarkEnd w:id="2123"/>
      <w:bookmarkEnd w:id="2124"/>
      <w:bookmarkEnd w:id="2125"/>
      <w:bookmarkEnd w:id="2126"/>
      <w:bookmarkEnd w:id="2127"/>
      <w:bookmarkEnd w:id="2128"/>
      <w:bookmarkEnd w:id="2129"/>
      <w:bookmarkEnd w:id="2130"/>
      <w:bookmarkEnd w:id="2131"/>
      <w:bookmarkEnd w:id="2132"/>
      <w:bookmarkEnd w:id="2133"/>
      <w:bookmarkEnd w:id="2134"/>
      <w:bookmarkEnd w:id="2135"/>
    </w:p>
    <w:p>
      <w:pPr>
        <w:pStyle w:val="4"/>
      </w:pPr>
      <w:bookmarkStart w:id="2136" w:name="_Toc574"/>
      <w:bookmarkStart w:id="2137" w:name="_Toc13225"/>
      <w:bookmarkStart w:id="2138" w:name="_Toc9996"/>
      <w:bookmarkStart w:id="2139" w:name="_Toc8318"/>
      <w:bookmarkStart w:id="2140" w:name="_Toc20588"/>
      <w:bookmarkStart w:id="2141" w:name="_Toc3785"/>
      <w:bookmarkStart w:id="2142" w:name="_Toc3764"/>
      <w:bookmarkStart w:id="2143" w:name="_Toc9299"/>
      <w:bookmarkStart w:id="2144" w:name="_Toc3059"/>
      <w:bookmarkStart w:id="2145" w:name="_Toc9489"/>
      <w:bookmarkStart w:id="2146" w:name="_Toc26707"/>
      <w:r>
        <w:rPr>
          <w:rFonts w:hint="eastAsia"/>
        </w:rPr>
        <w:t>苏工价〔2017〕8号</w:t>
      </w:r>
      <w:bookmarkEnd w:id="2136"/>
      <w:bookmarkEnd w:id="2137"/>
      <w:bookmarkEnd w:id="2138"/>
      <w:bookmarkEnd w:id="2139"/>
      <w:bookmarkEnd w:id="2140"/>
      <w:bookmarkEnd w:id="2141"/>
      <w:bookmarkEnd w:id="2142"/>
      <w:bookmarkEnd w:id="2143"/>
      <w:bookmarkEnd w:id="2144"/>
      <w:bookmarkEnd w:id="2145"/>
      <w:bookmarkEnd w:id="2146"/>
    </w:p>
    <w:p>
      <w:pPr>
        <w:ind w:firstLine="560"/>
      </w:pPr>
    </w:p>
    <w:p>
      <w:pPr>
        <w:ind w:firstLine="0" w:firstLineChars="0"/>
        <w:jc w:val="center"/>
        <w:rPr>
          <w:rFonts w:ascii="黑体" w:hAnsi="黑体" w:eastAsia="黑体"/>
          <w:color w:val="FF0000"/>
          <w:sz w:val="32"/>
          <w:szCs w:val="32"/>
        </w:rPr>
      </w:pPr>
      <w:r>
        <w:fldChar w:fldCharType="begin"/>
      </w:r>
      <w:r>
        <w:instrText xml:space="preserve"> INCLUDEPICTURE "C:\\Users\\ADMINI~1\\AppData\\Local\\Temp\\ksohtml\\wpsADB1.tmp.png" \* MERGEFORMATINET </w:instrText>
      </w:r>
      <w:r>
        <w:fldChar w:fldCharType="separate"/>
      </w:r>
      <w:r>
        <w:drawing>
          <wp:inline distT="0" distB="0" distL="114300" distR="114300">
            <wp:extent cx="2408555" cy="8255"/>
            <wp:effectExtent l="0" t="0" r="0" b="0"/>
            <wp:docPr id="100" name="图片 8" descr="wpsA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descr="wpsADB1"/>
                    <pic:cNvPicPr>
                      <a:picLocks noChangeAspect="1"/>
                    </pic:cNvPicPr>
                  </pic:nvPicPr>
                  <pic:blipFill>
                    <a:blip r:embed="rId145"/>
                    <a:stretch>
                      <a:fillRect/>
                    </a:stretch>
                  </pic:blipFill>
                  <pic:spPr>
                    <a:xfrm>
                      <a:off x="0" y="0"/>
                      <a:ext cx="2408555" cy="8255"/>
                    </a:xfrm>
                    <a:prstGeom prst="rect">
                      <a:avLst/>
                    </a:prstGeom>
                    <a:noFill/>
                    <a:ln>
                      <a:noFill/>
                    </a:ln>
                  </pic:spPr>
                </pic:pic>
              </a:graphicData>
            </a:graphic>
          </wp:inline>
        </w:drawing>
      </w:r>
      <w:r>
        <w:fldChar w:fldCharType="end"/>
      </w:r>
      <w:r>
        <w:rPr>
          <w:rFonts w:hint="eastAsia" w:ascii="黑体" w:hAnsi="黑体" w:eastAsia="黑体"/>
          <w:color w:val="FF0000"/>
          <w:sz w:val="32"/>
          <w:szCs w:val="32"/>
        </w:rPr>
        <w:t>★</w:t>
      </w:r>
      <w:r>
        <w:fldChar w:fldCharType="begin"/>
      </w:r>
      <w:r>
        <w:instrText xml:space="preserve"> INCLUDEPICTURE "C:\\Users\\ADMINI~1\\AppData\\Local\\Temp\\ksohtml\\wpsADA0.tmp.png" \* MERGEFORMATINET </w:instrText>
      </w:r>
      <w:r>
        <w:fldChar w:fldCharType="separate"/>
      </w:r>
      <w:r>
        <w:drawing>
          <wp:inline distT="0" distB="0" distL="114300" distR="114300">
            <wp:extent cx="2296160" cy="8255"/>
            <wp:effectExtent l="0" t="0" r="0" b="0"/>
            <wp:docPr id="101" name="图片 9" descr="wpsA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descr="wpsADA0"/>
                    <pic:cNvPicPr>
                      <a:picLocks noChangeAspect="1"/>
                    </pic:cNvPicPr>
                  </pic:nvPicPr>
                  <pic:blipFill>
                    <a:blip r:embed="rId144"/>
                    <a:stretch>
                      <a:fillRect/>
                    </a:stretch>
                  </pic:blipFill>
                  <pic:spPr>
                    <a:xfrm>
                      <a:off x="0" y="0"/>
                      <a:ext cx="2296160" cy="8255"/>
                    </a:xfrm>
                    <a:prstGeom prst="rect">
                      <a:avLst/>
                    </a:prstGeom>
                    <a:noFill/>
                    <a:ln>
                      <a:noFill/>
                    </a:ln>
                  </pic:spPr>
                </pic:pic>
              </a:graphicData>
            </a:graphic>
          </wp:inline>
        </w:drawing>
      </w:r>
      <w:r>
        <w:fldChar w:fldCharType="end"/>
      </w:r>
    </w:p>
    <w:p>
      <w:pPr>
        <w:ind w:firstLine="560"/>
        <w:jc w:val="center"/>
        <w:rPr>
          <w:rFonts w:ascii="宋体" w:hAnsi="宋体"/>
          <w:color w:val="000000"/>
          <w:szCs w:val="28"/>
        </w:rPr>
      </w:pPr>
      <w:r>
        <w:rPr>
          <w:rFonts w:hint="eastAsia" w:ascii="宋体" w:hAnsi="宋体"/>
          <w:color w:val="000000"/>
          <w:szCs w:val="28"/>
        </w:rPr>
        <w:t xml:space="preserve"> </w:t>
      </w:r>
    </w:p>
    <w:p>
      <w:pPr>
        <w:pStyle w:val="3"/>
      </w:pPr>
      <w:bookmarkStart w:id="2147" w:name="_Toc16055"/>
      <w:bookmarkStart w:id="2148" w:name="_Toc31748"/>
      <w:bookmarkStart w:id="2149" w:name="_Toc31539"/>
      <w:bookmarkStart w:id="2150" w:name="_Toc5577"/>
      <w:bookmarkStart w:id="2151" w:name="_Toc18273"/>
      <w:bookmarkStart w:id="2152" w:name="_Toc7486"/>
      <w:bookmarkStart w:id="2153" w:name="_Toc355"/>
      <w:bookmarkStart w:id="2154" w:name="_Toc16906"/>
      <w:bookmarkStart w:id="2155" w:name="_Toc13930"/>
      <w:bookmarkStart w:id="2156" w:name="_Toc2565"/>
      <w:bookmarkStart w:id="2157" w:name="_Toc2534"/>
      <w:bookmarkStart w:id="2158" w:name="_Toc27893"/>
      <w:bookmarkStart w:id="2159" w:name="_Toc23031"/>
      <w:bookmarkStart w:id="2160" w:name="_Toc20162"/>
      <w:r>
        <w:rPr>
          <w:rFonts w:hint="eastAsia"/>
        </w:rPr>
        <w:t>关于进一步明确我市人工工资指导价价差调整有关问题的通知</w:t>
      </w:r>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p>
    <w:p>
      <w:pPr>
        <w:ind w:firstLine="560"/>
        <w:rPr>
          <w:rFonts w:ascii="仿宋" w:hAnsi="仿宋" w:eastAsia="仿宋"/>
          <w:color w:val="000000"/>
          <w:szCs w:val="28"/>
        </w:rPr>
      </w:pPr>
      <w:r>
        <w:rPr>
          <w:rFonts w:hint="eastAsia" w:ascii="仿宋" w:hAnsi="仿宋" w:eastAsia="仿宋"/>
          <w:color w:val="000000"/>
          <w:szCs w:val="28"/>
        </w:rPr>
        <w:t xml:space="preserve"> </w:t>
      </w:r>
    </w:p>
    <w:p>
      <w:pPr>
        <w:spacing w:line="550" w:lineRule="exact"/>
        <w:ind w:firstLine="0" w:firstLineChars="0"/>
      </w:pPr>
      <w:r>
        <w:rPr>
          <w:rFonts w:hint="eastAsia"/>
        </w:rPr>
        <w:t>各建设、施工、中介咨询机构，各有关单位：</w:t>
      </w:r>
    </w:p>
    <w:p>
      <w:pPr>
        <w:spacing w:line="550" w:lineRule="exact"/>
        <w:ind w:firstLine="560"/>
      </w:pPr>
      <w:r>
        <w:rPr>
          <w:rFonts w:hint="eastAsia"/>
        </w:rPr>
        <w:t>我省自2013年3月1日起将建设工程人工工资单价由政策性调整改为实行动态管理后，分别于2015年3月（苏建函价〔2015〕133号文）和2016年12月（苏建价函〔2016〕34号文）又明确建设工程人工工资指导价调整，属于政策性调整因素。我市据此出台了相关文件和解释，其中《苏州工程造价信息》2016年第６期发布的计价解释（四）第２条：“我省自2013年3月1日起将建设工程人工工资单价由政策性调整改为实行动态管理，每半年发布一次指导价，而材料指导价格由各市每月发布。鉴于人工价格的特殊性，且我省人工价格还未完全放开，省厅发布的人工指导价格调整，影响合同价款调整的，应由发包人承担，承包人不应承担此项风险。我市以前发布的文件与此不一致的，均按此执行。”但在实际执行过程中，大家对人工工资指导价如何调整理解不一，出现了很多分歧。</w:t>
      </w:r>
    </w:p>
    <w:p>
      <w:pPr>
        <w:spacing w:line="550" w:lineRule="exact"/>
        <w:ind w:firstLine="560"/>
      </w:pPr>
      <w:r>
        <w:rPr>
          <w:rFonts w:hint="eastAsia"/>
        </w:rPr>
        <w:t>针对以上情况，现根据我市以往发布的系列文件和解释，对建设工程人工工资指导价价差调整有关问题，进一步明确如下：</w:t>
      </w:r>
    </w:p>
    <w:p>
      <w:pPr>
        <w:spacing w:line="550" w:lineRule="exact"/>
        <w:ind w:firstLine="560"/>
      </w:pPr>
      <w:r>
        <w:rPr>
          <w:rFonts w:hint="eastAsia"/>
        </w:rPr>
        <w:t>一、合同已约定人工工资指导价价差调整办法的，竣工结算时，按合同约定的条款调整价差。</w:t>
      </w:r>
    </w:p>
    <w:p>
      <w:pPr>
        <w:spacing w:line="550" w:lineRule="exact"/>
        <w:ind w:firstLine="560"/>
      </w:pPr>
      <w:r>
        <w:rPr>
          <w:rFonts w:hint="eastAsia"/>
        </w:rPr>
        <w:t>二、合同约定人工工资指导价价差可以调整，但未明确承包人是否要承担一定的风险幅度的，均按人工工资指导价的绝对值差额调整。</w:t>
      </w:r>
    </w:p>
    <w:p>
      <w:pPr>
        <w:spacing w:line="550" w:lineRule="exact"/>
        <w:ind w:firstLine="560"/>
      </w:pPr>
      <w:r>
        <w:rPr>
          <w:rFonts w:hint="eastAsia"/>
        </w:rPr>
        <w:t>三、合同未约定人工工资指导价价差调整办法的，或虽有约定，但约定不明确或矛盾的，发承包双方应签订补充协议进行结算。</w:t>
      </w:r>
    </w:p>
    <w:p>
      <w:pPr>
        <w:spacing w:line="550" w:lineRule="exact"/>
        <w:ind w:firstLine="560"/>
      </w:pPr>
      <w:r>
        <w:rPr>
          <w:rFonts w:hint="eastAsia"/>
        </w:rPr>
        <w:t>四、对于计取风险费用的建设工程，除合同另有约定外，在与风险费用比较时，将由人工工资指导价价差引起的人工费及企业管理费、利润的差额与主要材料的价差合并计算。</w:t>
      </w:r>
    </w:p>
    <w:p>
      <w:pPr>
        <w:ind w:firstLine="560"/>
      </w:pPr>
      <w:r>
        <w:rPr>
          <w:rFonts w:hint="eastAsia"/>
        </w:rPr>
        <w:t xml:space="preserve"> </w:t>
      </w:r>
    </w:p>
    <w:p>
      <w:pPr>
        <w:ind w:firstLine="560"/>
      </w:pPr>
      <w:r>
        <w:rPr>
          <w:rFonts w:hint="eastAsia"/>
        </w:rPr>
        <w:t xml:space="preserve">           </w:t>
      </w:r>
    </w:p>
    <w:p>
      <w:pPr>
        <w:ind w:firstLine="560"/>
      </w:pPr>
      <w:r>
        <w:rPr>
          <w:rFonts w:hint="eastAsia"/>
        </w:rPr>
        <w:t xml:space="preserve"> </w:t>
      </w:r>
    </w:p>
    <w:p>
      <w:pPr>
        <w:ind w:firstLine="560"/>
      </w:pPr>
      <w:r>
        <w:rPr>
          <w:rFonts w:hint="eastAsia"/>
        </w:rPr>
        <w:t xml:space="preserve"> </w:t>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 xml:space="preserve"> 苏州市工程造价管理处</w:t>
      </w:r>
    </w:p>
    <w:p>
      <w:pPr>
        <w:ind w:firstLine="560"/>
      </w:pPr>
      <w:r>
        <w:t xml:space="preserve">                                  </w:t>
      </w:r>
      <w:r>
        <w:rPr>
          <w:rFonts w:hint="eastAsia"/>
        </w:rPr>
        <w:t xml:space="preserve">     2017年8月16日</w:t>
      </w:r>
    </w:p>
    <w:p>
      <w:pPr>
        <w:ind w:firstLine="560"/>
      </w:pPr>
      <w:r>
        <w:rPr>
          <w:rFonts w:hint="eastAsia"/>
        </w:rPr>
        <w:t xml:space="preserve"> </w:t>
      </w:r>
    </w:p>
    <w:p>
      <w:pPr>
        <w:pStyle w:val="11"/>
        <w:spacing w:line="360" w:lineRule="auto"/>
        <w:ind w:firstLine="640"/>
        <w:jc w:val="center"/>
        <w:outlineLvl w:val="0"/>
        <w:rPr>
          <w:rStyle w:val="29"/>
        </w:rPr>
      </w:pPr>
      <w:r>
        <w:rPr>
          <w:rFonts w:ascii="仿宋_GB2312" w:hAnsi="宋体" w:eastAsia="仿宋_GB2312" w:cs="宋体"/>
          <w:color w:val="000000"/>
          <w:kern w:val="0"/>
          <w:sz w:val="32"/>
          <w:szCs w:val="32"/>
        </w:rPr>
        <w:br w:type="page"/>
      </w:r>
      <w:bookmarkStart w:id="2161" w:name="_Toc2287"/>
      <w:bookmarkStart w:id="2162" w:name="_Toc30754"/>
      <w:bookmarkStart w:id="2163" w:name="_Toc18937"/>
      <w:bookmarkStart w:id="2164" w:name="_Toc3892"/>
      <w:bookmarkStart w:id="2165" w:name="_Toc21400"/>
      <w:bookmarkStart w:id="2166" w:name="_Toc1621"/>
      <w:bookmarkStart w:id="2167" w:name="_Toc12959"/>
      <w:bookmarkStart w:id="2168" w:name="_Toc5981"/>
      <w:bookmarkStart w:id="2169" w:name="_Toc14300"/>
      <w:bookmarkStart w:id="2170" w:name="_Toc27581"/>
      <w:bookmarkStart w:id="2171" w:name="_Toc10086"/>
      <w:bookmarkStart w:id="2172" w:name="_Toc32597"/>
      <w:bookmarkStart w:id="2173" w:name="_Toc2978"/>
      <w:r>
        <w:rPr>
          <w:rStyle w:val="29"/>
          <w:rFonts w:hint="eastAsia"/>
        </w:rPr>
        <w:t>苏州市工程造价管理处</w:t>
      </w:r>
      <w:bookmarkEnd w:id="2161"/>
      <w:bookmarkEnd w:id="2162"/>
      <w:bookmarkEnd w:id="2163"/>
      <w:bookmarkEnd w:id="2164"/>
      <w:bookmarkEnd w:id="2165"/>
      <w:bookmarkEnd w:id="2166"/>
      <w:bookmarkEnd w:id="2167"/>
      <w:bookmarkEnd w:id="2168"/>
      <w:bookmarkEnd w:id="2169"/>
      <w:bookmarkEnd w:id="2170"/>
      <w:bookmarkEnd w:id="2171"/>
      <w:bookmarkEnd w:id="2172"/>
      <w:bookmarkEnd w:id="2173"/>
    </w:p>
    <w:p>
      <w:pPr>
        <w:pStyle w:val="4"/>
      </w:pPr>
      <w:bookmarkStart w:id="2174" w:name="_Toc24915"/>
      <w:bookmarkStart w:id="2175" w:name="_Toc31372"/>
      <w:bookmarkStart w:id="2176" w:name="_Toc20903"/>
      <w:bookmarkStart w:id="2177" w:name="_Toc27025"/>
      <w:bookmarkStart w:id="2178" w:name="_Toc29613"/>
      <w:bookmarkStart w:id="2179" w:name="_Toc10754"/>
      <w:bookmarkStart w:id="2180" w:name="_Toc12005"/>
      <w:bookmarkStart w:id="2181" w:name="_Toc19591"/>
      <w:bookmarkStart w:id="2182" w:name="_Toc10293"/>
      <w:bookmarkStart w:id="2183" w:name="_Toc19021"/>
      <w:bookmarkStart w:id="2184" w:name="_Toc13782"/>
      <w:r>
        <w:rPr>
          <w:rFonts w:hint="eastAsia"/>
        </w:rPr>
        <w:t>苏工价〔2017〕9号</w:t>
      </w:r>
      <w:bookmarkEnd w:id="2174"/>
      <w:bookmarkEnd w:id="2175"/>
      <w:bookmarkEnd w:id="2176"/>
      <w:bookmarkEnd w:id="2177"/>
      <w:bookmarkEnd w:id="2178"/>
      <w:bookmarkEnd w:id="2179"/>
      <w:bookmarkEnd w:id="2180"/>
      <w:bookmarkEnd w:id="2181"/>
      <w:bookmarkEnd w:id="2182"/>
      <w:bookmarkEnd w:id="2183"/>
      <w:bookmarkEnd w:id="2184"/>
    </w:p>
    <w:p>
      <w:pPr>
        <w:ind w:firstLine="723"/>
        <w:jc w:val="center"/>
        <w:rPr>
          <w:rFonts w:ascii="Verdana" w:hAnsi="Verdana" w:cs="Calibri"/>
          <w:b/>
          <w:bCs/>
          <w:color w:val="000000"/>
          <w:sz w:val="36"/>
          <w:szCs w:val="36"/>
        </w:rPr>
      </w:pPr>
      <w:r>
        <w:rPr>
          <w:rFonts w:hint="eastAsia" w:ascii="Verdana" w:hAnsi="Verdana"/>
          <w:b/>
          <w:bCs/>
          <w:color w:val="000000"/>
          <w:sz w:val="36"/>
          <w:szCs w:val="36"/>
        </w:rPr>
        <w:t xml:space="preserve"> </w:t>
      </w:r>
    </w:p>
    <w:p>
      <w:pPr>
        <w:pStyle w:val="3"/>
      </w:pPr>
      <w:bookmarkStart w:id="2185" w:name="_Toc17956"/>
      <w:bookmarkStart w:id="2186" w:name="_Toc6081"/>
      <w:bookmarkStart w:id="2187" w:name="_Toc26908"/>
      <w:bookmarkStart w:id="2188" w:name="_Toc7991"/>
      <w:bookmarkStart w:id="2189" w:name="_Toc9315"/>
      <w:bookmarkStart w:id="2190" w:name="_Toc8591"/>
      <w:bookmarkStart w:id="2191" w:name="_Toc32271"/>
      <w:bookmarkStart w:id="2192" w:name="_Toc19316"/>
      <w:bookmarkStart w:id="2193" w:name="_Toc4547"/>
      <w:bookmarkStart w:id="2194" w:name="_Toc15416"/>
      <w:bookmarkStart w:id="2195" w:name="_Toc5076"/>
      <w:bookmarkStart w:id="2196" w:name="_Toc13871"/>
      <w:bookmarkStart w:id="2197" w:name="_Toc3129"/>
      <w:bookmarkStart w:id="2198" w:name="_Toc16774"/>
      <w:r>
        <w:rPr>
          <w:rFonts w:hint="eastAsia"/>
        </w:rPr>
        <w:t>关于今年高温天气如何调整施工工期的</w:t>
      </w:r>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p>
    <w:p>
      <w:pPr>
        <w:pStyle w:val="3"/>
      </w:pPr>
      <w:bookmarkStart w:id="2199" w:name="_Toc3943"/>
      <w:bookmarkStart w:id="2200" w:name="_Toc1661"/>
      <w:bookmarkStart w:id="2201" w:name="_Toc8483"/>
      <w:bookmarkStart w:id="2202" w:name="_Toc11109"/>
      <w:bookmarkStart w:id="2203" w:name="_Toc22117"/>
      <w:bookmarkStart w:id="2204" w:name="_Toc18865"/>
      <w:bookmarkStart w:id="2205" w:name="_Toc31641"/>
      <w:bookmarkStart w:id="2206" w:name="_Toc25926"/>
      <w:bookmarkStart w:id="2207" w:name="_Toc1650"/>
      <w:bookmarkStart w:id="2208" w:name="_Toc2470"/>
      <w:bookmarkStart w:id="2209" w:name="_Toc31389"/>
      <w:bookmarkStart w:id="2210" w:name="_Toc19702"/>
      <w:bookmarkStart w:id="2211" w:name="_Toc12078"/>
      <w:bookmarkStart w:id="2212" w:name="_Toc20182"/>
      <w:r>
        <w:rPr>
          <w:rFonts w:hint="eastAsia"/>
        </w:rPr>
        <w:t>指导意见</w:t>
      </w:r>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p>
    <w:p>
      <w:pPr>
        <w:widowControl/>
        <w:spacing w:before="100" w:beforeAutospacing="1" w:after="100" w:afterAutospacing="1"/>
        <w:ind w:firstLine="480"/>
        <w:jc w:val="left"/>
        <w:rPr>
          <w:rFonts w:ascii="宋体" w:hAnsi="宋体"/>
          <w:kern w:val="0"/>
          <w:sz w:val="24"/>
        </w:rPr>
      </w:pPr>
      <w:r>
        <w:rPr>
          <w:rFonts w:hint="eastAsia" w:ascii="宋体" w:hAnsi="宋体"/>
          <w:kern w:val="0"/>
          <w:sz w:val="24"/>
        </w:rPr>
        <w:t xml:space="preserve"> </w:t>
      </w:r>
    </w:p>
    <w:p>
      <w:pPr>
        <w:ind w:firstLine="560"/>
      </w:pPr>
      <w:r>
        <w:rPr>
          <w:rFonts w:hint="eastAsia"/>
        </w:rPr>
        <w:t>各建设、施工、咨询单位：</w:t>
      </w:r>
    </w:p>
    <w:p>
      <w:pPr>
        <w:ind w:firstLine="560"/>
      </w:pPr>
      <w:r>
        <w:rPr>
          <w:rFonts w:hint="eastAsia"/>
        </w:rPr>
        <w:t>针对今年的高温酷暑天气影响施工工期的问题，承、发包双方可以参照原苏州市建设局文件《关于合理调整高温酷暑期施工工期的通知》（苏建价〔2007〕11号）签订补充合同或协议，相应顺延施工工期，但今年的高温影响期按如下日期确定：</w:t>
      </w:r>
    </w:p>
    <w:p>
      <w:pPr>
        <w:ind w:firstLine="560"/>
      </w:pPr>
      <w:r>
        <w:rPr>
          <w:rFonts w:hint="eastAsia"/>
        </w:rPr>
        <w:t>一、合同开工日期在2017年7月12日以前且竣工日期在2017年8月8日以后的工程，工期顺延14天。</w:t>
      </w:r>
    </w:p>
    <w:p>
      <w:pPr>
        <w:ind w:firstLine="560"/>
      </w:pPr>
      <w:r>
        <w:rPr>
          <w:rFonts w:hint="eastAsia"/>
        </w:rPr>
        <w:t>二、合同开工日期在2017年7月12日以后，或竣工日期在2017年8月8日以前的工程，按其在2017年7月12日至2017年8月8日之间的施工天数，每天顺延0.5天计算；例如：其间施工天数如果为12日，则工期顺延6天。</w:t>
      </w:r>
    </w:p>
    <w:p>
      <w:pPr>
        <w:ind w:firstLine="560"/>
      </w:pPr>
      <w:r>
        <w:rPr>
          <w:rFonts w:hint="eastAsia"/>
        </w:rPr>
        <w:t xml:space="preserve"> </w:t>
      </w:r>
    </w:p>
    <w:p>
      <w:pPr>
        <w:ind w:firstLine="560"/>
      </w:pPr>
      <w:r>
        <w:rPr>
          <w:rFonts w:hint="eastAsia"/>
        </w:rPr>
        <w:t xml:space="preserve">                      </w:t>
      </w:r>
      <w:r>
        <w:t xml:space="preserve">         </w:t>
      </w:r>
      <w:r>
        <w:rPr>
          <w:rFonts w:hint="eastAsia"/>
        </w:rPr>
        <w:t>苏州市工程造价管理处</w:t>
      </w:r>
    </w:p>
    <w:p>
      <w:pPr>
        <w:ind w:firstLine="560"/>
        <w:rPr>
          <w:rFonts w:ascii="宋体" w:hAnsi="宋体"/>
          <w:color w:val="000000"/>
          <w:szCs w:val="28"/>
        </w:rPr>
      </w:pPr>
      <w:r>
        <w:rPr>
          <w:rFonts w:hint="eastAsia"/>
        </w:rPr>
        <w:t xml:space="preserve">                      </w:t>
      </w:r>
      <w:r>
        <w:t xml:space="preserve">             </w:t>
      </w:r>
      <w:r>
        <w:rPr>
          <w:rFonts w:hint="eastAsia"/>
        </w:rPr>
        <w:t>2017年9月15日</w:t>
      </w:r>
    </w:p>
    <w:p>
      <w:pPr>
        <w:widowControl/>
        <w:spacing w:before="100" w:beforeAutospacing="1" w:after="100" w:afterAutospacing="1"/>
        <w:ind w:firstLine="480"/>
        <w:jc w:val="left"/>
        <w:rPr>
          <w:rFonts w:ascii="宋体" w:hAnsi="宋体"/>
          <w:kern w:val="0"/>
          <w:sz w:val="24"/>
        </w:rPr>
      </w:pPr>
      <w:r>
        <w:rPr>
          <w:rFonts w:hint="eastAsia" w:ascii="宋体" w:hAnsi="宋体"/>
          <w:kern w:val="0"/>
          <w:sz w:val="24"/>
        </w:rPr>
        <w:t xml:space="preserve"> </w:t>
      </w:r>
    </w:p>
    <w:p>
      <w:pPr>
        <w:pStyle w:val="5"/>
        <w:rPr>
          <w:rStyle w:val="29"/>
          <w:bCs/>
        </w:rPr>
      </w:pPr>
      <w:r>
        <w:br w:type="page"/>
      </w:r>
      <w:bookmarkStart w:id="2213" w:name="_Toc2950"/>
      <w:bookmarkStart w:id="2214" w:name="_Toc19454"/>
      <w:bookmarkStart w:id="2215" w:name="_Toc21815"/>
      <w:bookmarkStart w:id="2216" w:name="_Toc6668"/>
      <w:bookmarkStart w:id="2217" w:name="_Toc15018"/>
      <w:bookmarkStart w:id="2218" w:name="_Toc5522"/>
      <w:bookmarkStart w:id="2219" w:name="_Toc11442"/>
      <w:bookmarkStart w:id="2220" w:name="_Toc382"/>
      <w:r>
        <w:rPr>
          <w:rStyle w:val="29"/>
          <w:rFonts w:hint="eastAsia"/>
          <w:bCs/>
        </w:rPr>
        <w:t>苏州市工程造价管理处</w:t>
      </w:r>
      <w:bookmarkEnd w:id="2213"/>
      <w:bookmarkEnd w:id="2214"/>
      <w:bookmarkEnd w:id="2215"/>
      <w:bookmarkEnd w:id="2216"/>
      <w:bookmarkEnd w:id="2217"/>
      <w:bookmarkEnd w:id="2218"/>
      <w:bookmarkEnd w:id="2219"/>
      <w:bookmarkEnd w:id="2220"/>
    </w:p>
    <w:p>
      <w:pPr>
        <w:pStyle w:val="4"/>
      </w:pPr>
      <w:bookmarkStart w:id="2221" w:name="_Toc23275"/>
      <w:bookmarkStart w:id="2222" w:name="_Toc27136"/>
      <w:bookmarkStart w:id="2223" w:name="_Toc14054"/>
      <w:bookmarkStart w:id="2224" w:name="_Toc9191"/>
      <w:bookmarkStart w:id="2225" w:name="_Toc496"/>
      <w:bookmarkStart w:id="2226" w:name="_Toc18760"/>
      <w:bookmarkStart w:id="2227" w:name="_Toc11182"/>
      <w:bookmarkStart w:id="2228" w:name="_Toc24921"/>
      <w:bookmarkStart w:id="2229" w:name="_Toc4161"/>
      <w:bookmarkStart w:id="2230" w:name="_Toc1321"/>
      <w:bookmarkStart w:id="2231" w:name="_Toc10486"/>
      <w:r>
        <w:rPr>
          <w:rFonts w:hint="eastAsia"/>
        </w:rPr>
        <w:t>苏工价〔2018〕14号</w:t>
      </w:r>
      <w:bookmarkEnd w:id="2221"/>
      <w:bookmarkEnd w:id="2222"/>
      <w:bookmarkEnd w:id="2223"/>
      <w:bookmarkEnd w:id="2224"/>
      <w:bookmarkEnd w:id="2225"/>
      <w:bookmarkEnd w:id="2226"/>
      <w:bookmarkEnd w:id="2227"/>
      <w:bookmarkEnd w:id="2228"/>
      <w:bookmarkEnd w:id="2229"/>
      <w:bookmarkEnd w:id="2230"/>
      <w:bookmarkEnd w:id="2231"/>
    </w:p>
    <w:p>
      <w:pPr>
        <w:ind w:firstLine="723"/>
        <w:jc w:val="center"/>
        <w:rPr>
          <w:rFonts w:ascii="Verdana" w:hAnsi="Verdana" w:cs="Calibri"/>
          <w:b/>
          <w:bCs/>
          <w:color w:val="000000"/>
          <w:sz w:val="36"/>
          <w:szCs w:val="36"/>
        </w:rPr>
      </w:pPr>
      <w:r>
        <w:rPr>
          <w:rFonts w:hint="eastAsia" w:ascii="Verdana" w:hAnsi="Verdana"/>
          <w:b/>
          <w:bCs/>
          <w:color w:val="000000"/>
          <w:sz w:val="36"/>
          <w:szCs w:val="36"/>
        </w:rPr>
        <w:t xml:space="preserve"> </w:t>
      </w:r>
    </w:p>
    <w:p>
      <w:pPr>
        <w:pStyle w:val="3"/>
      </w:pPr>
      <w:bookmarkStart w:id="2232" w:name="_Toc25271"/>
      <w:bookmarkStart w:id="2233" w:name="_Toc32679"/>
      <w:bookmarkStart w:id="2234" w:name="_Toc14758"/>
      <w:bookmarkStart w:id="2235" w:name="_Toc23375"/>
      <w:bookmarkStart w:id="2236" w:name="_Toc31268"/>
      <w:bookmarkStart w:id="2237" w:name="_Toc1174"/>
      <w:bookmarkStart w:id="2238" w:name="_Toc30741"/>
      <w:bookmarkStart w:id="2239" w:name="_Toc2594"/>
      <w:bookmarkStart w:id="2240" w:name="_Toc21956"/>
      <w:bookmarkStart w:id="2241" w:name="_Toc29116"/>
      <w:bookmarkStart w:id="2242" w:name="_Toc25005"/>
      <w:bookmarkStart w:id="2243" w:name="_Toc9638"/>
      <w:bookmarkStart w:id="2244" w:name="_Toc14061"/>
      <w:bookmarkStart w:id="2245" w:name="_Toc8675"/>
      <w:r>
        <w:t>关于认真</w:t>
      </w:r>
      <w:r>
        <w:rPr>
          <w:rFonts w:hint="eastAsia"/>
        </w:rPr>
        <w:t>贯彻</w:t>
      </w:r>
      <w:r>
        <w:t>落实</w:t>
      </w:r>
      <w:r>
        <w:rPr>
          <w:rFonts w:hint="eastAsia"/>
        </w:rPr>
        <w:t>《</w:t>
      </w:r>
      <w:r>
        <w:t>苏州市</w:t>
      </w:r>
      <w:r>
        <w:rPr>
          <w:rFonts w:hint="eastAsia"/>
        </w:rPr>
        <w:t>建设</w:t>
      </w:r>
      <w:r>
        <w:t>工程</w:t>
      </w:r>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p>
    <w:p>
      <w:pPr>
        <w:pStyle w:val="3"/>
      </w:pPr>
      <w:bookmarkStart w:id="2246" w:name="_Toc20506"/>
      <w:bookmarkStart w:id="2247" w:name="_Toc27687"/>
      <w:bookmarkStart w:id="2248" w:name="_Toc24104"/>
      <w:bookmarkStart w:id="2249" w:name="_Toc2903"/>
      <w:bookmarkStart w:id="2250" w:name="_Toc16302"/>
      <w:bookmarkStart w:id="2251" w:name="_Toc32286"/>
      <w:bookmarkStart w:id="2252" w:name="_Toc9362"/>
      <w:bookmarkStart w:id="2253" w:name="_Toc6788"/>
      <w:bookmarkStart w:id="2254" w:name="_Toc13753"/>
      <w:bookmarkStart w:id="2255" w:name="_Toc11984"/>
      <w:bookmarkStart w:id="2256" w:name="_Toc1458"/>
      <w:bookmarkStart w:id="2257" w:name="_Toc20610"/>
      <w:bookmarkStart w:id="2258" w:name="_Toc32734"/>
      <w:bookmarkStart w:id="2259" w:name="_Toc21609"/>
      <w:r>
        <w:rPr>
          <w:rFonts w:hint="eastAsia"/>
        </w:rPr>
        <w:t>价格</w:t>
      </w:r>
      <w:r>
        <w:t>信息员管理办法</w:t>
      </w:r>
      <w:r>
        <w:rPr>
          <w:rFonts w:hint="eastAsia"/>
        </w:rPr>
        <w:t>》的通知</w:t>
      </w:r>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p>
    <w:p>
      <w:pPr>
        <w:widowControl/>
        <w:spacing w:line="560" w:lineRule="atLeast"/>
        <w:ind w:firstLine="640"/>
        <w:jc w:val="left"/>
        <w:rPr>
          <w:rFonts w:ascii="仿宋_GB2312" w:hAnsi="Verdana" w:cs="宋体"/>
          <w:color w:val="000000"/>
          <w:kern w:val="0"/>
          <w:sz w:val="32"/>
          <w:szCs w:val="32"/>
        </w:rPr>
      </w:pPr>
      <w:r>
        <w:rPr>
          <w:rFonts w:hint="eastAsia" w:ascii="仿宋_GB2312" w:hAnsi="Verdana" w:cs="宋体"/>
          <w:color w:val="000000"/>
          <w:kern w:val="0"/>
          <w:sz w:val="32"/>
          <w:szCs w:val="32"/>
        </w:rPr>
        <w:t xml:space="preserve"> </w:t>
      </w:r>
    </w:p>
    <w:p>
      <w:pPr>
        <w:ind w:firstLine="0" w:firstLineChars="0"/>
      </w:pPr>
      <w:r>
        <w:rPr>
          <w:rFonts w:hint="eastAsia"/>
        </w:rPr>
        <w:t>各区、县（市）造价管理部门，各有关单位及个人：</w:t>
      </w:r>
    </w:p>
    <w:p>
      <w:pPr>
        <w:ind w:firstLine="560"/>
      </w:pPr>
      <w:r>
        <w:rPr>
          <w:rFonts w:hint="eastAsia"/>
        </w:rPr>
        <w:t>为进一步规范全市建设市场秩序，完善建设工程价格信息采集制度，合理确定和有效控制建设工程计价依据，确保工程价格信息发布的准确性和及时性，依据《江苏省建设工程造价信息发布管理办法》等相关法律、法规，结合本市实际，制定了《苏州市建设工程价格信息员管理办法》。现予印发，请认真贯彻落实。</w:t>
      </w:r>
    </w:p>
    <w:p>
      <w:pPr>
        <w:ind w:firstLine="560"/>
      </w:pPr>
      <w:r>
        <w:rPr>
          <w:rFonts w:hint="eastAsia"/>
        </w:rPr>
        <w:t>依据《苏州市建设工程价格信息员管理办法》，现公开向全市征集苏州市建设工程价格信息员。请于12月17日前，将《苏州市建设工程价格信息员申请表》及申报相关证明材料邮寄至市造价处，地址：苏州市十全街933号，联系人：杨旭，联系电话：65182826，电子版《苏州市建设工程价格信息员申请表》报送至市造价处邮箱：1576981549@qq.com 。</w:t>
      </w:r>
    </w:p>
    <w:p>
      <w:pPr>
        <w:ind w:firstLine="560"/>
      </w:pPr>
      <w:r>
        <w:t xml:space="preserve"> </w:t>
      </w:r>
    </w:p>
    <w:p>
      <w:pPr>
        <w:ind w:firstLine="560"/>
        <w:outlineLvl w:val="0"/>
      </w:pPr>
      <w:bookmarkStart w:id="2260" w:name="_Toc17825"/>
      <w:bookmarkStart w:id="2261" w:name="_Toc10181"/>
      <w:bookmarkStart w:id="2262" w:name="_Toc22747"/>
      <w:bookmarkStart w:id="2263" w:name="_Toc10443"/>
      <w:bookmarkStart w:id="2264" w:name="_Toc1603"/>
      <w:bookmarkStart w:id="2265" w:name="_Toc9709"/>
      <w:bookmarkStart w:id="2266" w:name="_Toc10412"/>
      <w:bookmarkStart w:id="2267" w:name="_Toc12701"/>
      <w:bookmarkStart w:id="2268" w:name="_Toc13532"/>
      <w:bookmarkStart w:id="2269" w:name="_Toc19675"/>
      <w:r>
        <w:rPr>
          <w:rFonts w:hint="eastAsia"/>
        </w:rPr>
        <w:t>附件一：《苏州市建设工程价格信息员管理办法》</w:t>
      </w:r>
      <w:bookmarkEnd w:id="2260"/>
      <w:bookmarkEnd w:id="2261"/>
      <w:bookmarkEnd w:id="2262"/>
      <w:bookmarkEnd w:id="2263"/>
      <w:bookmarkEnd w:id="2264"/>
      <w:bookmarkEnd w:id="2265"/>
      <w:bookmarkEnd w:id="2266"/>
      <w:bookmarkEnd w:id="2267"/>
      <w:bookmarkEnd w:id="2268"/>
      <w:bookmarkEnd w:id="2269"/>
    </w:p>
    <w:p>
      <w:pPr>
        <w:ind w:firstLine="560"/>
        <w:outlineLvl w:val="0"/>
      </w:pPr>
      <w:bookmarkStart w:id="2270" w:name="_Toc25419"/>
      <w:bookmarkStart w:id="2271" w:name="_Toc1385"/>
      <w:bookmarkStart w:id="2272" w:name="_Toc4374"/>
      <w:bookmarkStart w:id="2273" w:name="_Toc21068"/>
      <w:bookmarkStart w:id="2274" w:name="_Toc27863"/>
      <w:bookmarkStart w:id="2275" w:name="_Toc31029"/>
      <w:bookmarkStart w:id="2276" w:name="_Toc12929"/>
      <w:bookmarkStart w:id="2277" w:name="_Toc11759"/>
      <w:bookmarkStart w:id="2278" w:name="_Toc28902"/>
      <w:bookmarkStart w:id="2279" w:name="_Toc13659"/>
      <w:r>
        <w:rPr>
          <w:rFonts w:hint="eastAsia"/>
        </w:rPr>
        <w:t>附件二：《苏州市建设工程材料价格信息员申请表》</w:t>
      </w:r>
      <w:bookmarkEnd w:id="2270"/>
      <w:bookmarkEnd w:id="2271"/>
      <w:bookmarkEnd w:id="2272"/>
      <w:bookmarkEnd w:id="2273"/>
      <w:bookmarkEnd w:id="2274"/>
      <w:bookmarkEnd w:id="2275"/>
      <w:bookmarkEnd w:id="2276"/>
      <w:bookmarkEnd w:id="2277"/>
      <w:bookmarkEnd w:id="2278"/>
      <w:bookmarkEnd w:id="2279"/>
    </w:p>
    <w:p>
      <w:pPr>
        <w:ind w:firstLine="560"/>
      </w:pPr>
      <w:r>
        <w:rPr>
          <w:rFonts w:hint="eastAsia"/>
        </w:rPr>
        <w:t xml:space="preserve"> </w:t>
      </w:r>
    </w:p>
    <w:p>
      <w:pPr>
        <w:ind w:firstLine="4928" w:firstLineChars="1760"/>
      </w:pPr>
      <w:r>
        <w:rPr>
          <w:rFonts w:hint="eastAsia"/>
        </w:rPr>
        <w:t>苏州市工程造价管理处</w:t>
      </w:r>
    </w:p>
    <w:p>
      <w:pPr>
        <w:ind w:firstLine="560"/>
      </w:pPr>
      <w:r>
        <w:rPr>
          <w:rFonts w:hint="eastAsia"/>
        </w:rPr>
        <w:t xml:space="preserve"> </w:t>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 xml:space="preserve">   </w:t>
      </w:r>
      <w:r>
        <w:t xml:space="preserve">    </w:t>
      </w:r>
      <w:r>
        <w:rPr>
          <w:rFonts w:hint="eastAsia"/>
        </w:rPr>
        <w:t>2018年11月20日</w:t>
      </w:r>
      <w:r>
        <w:t xml:space="preserve"> </w:t>
      </w:r>
    </w:p>
    <w:p>
      <w:pPr>
        <w:ind w:firstLine="560"/>
        <w:rPr>
          <w:rFonts w:ascii="Calibri" w:hAnsi="Calibri" w:cs="Calibri"/>
          <w:szCs w:val="21"/>
        </w:rPr>
      </w:pPr>
      <w:r>
        <w:br w:type="page"/>
      </w:r>
    </w:p>
    <w:p>
      <w:pPr>
        <w:widowControl/>
        <w:spacing w:line="460" w:lineRule="exact"/>
        <w:ind w:firstLine="0" w:firstLineChars="0"/>
        <w:outlineLvl w:val="0"/>
        <w:rPr>
          <w:rFonts w:ascii="宋体" w:hAnsi="宋体"/>
          <w:kern w:val="0"/>
          <w:szCs w:val="28"/>
        </w:rPr>
      </w:pPr>
      <w:bookmarkStart w:id="2280" w:name="_Toc17043"/>
      <w:bookmarkStart w:id="2281" w:name="_Toc23764"/>
      <w:bookmarkStart w:id="2282" w:name="_Toc26620"/>
      <w:bookmarkStart w:id="2283" w:name="_Toc4089"/>
      <w:bookmarkStart w:id="2284" w:name="_Toc27500"/>
      <w:bookmarkStart w:id="2285" w:name="_Toc29169"/>
      <w:bookmarkStart w:id="2286" w:name="_Toc6887"/>
      <w:bookmarkStart w:id="2287" w:name="_Toc11969"/>
      <w:bookmarkStart w:id="2288" w:name="_Toc13840"/>
      <w:bookmarkStart w:id="2289" w:name="_Toc24930"/>
      <w:r>
        <w:rPr>
          <w:rFonts w:hint="eastAsia" w:ascii="宋体" w:hAnsi="宋体"/>
          <w:kern w:val="0"/>
          <w:szCs w:val="28"/>
        </w:rPr>
        <w:t>附件一：</w:t>
      </w:r>
      <w:bookmarkEnd w:id="2280"/>
      <w:bookmarkEnd w:id="2281"/>
      <w:bookmarkEnd w:id="2282"/>
      <w:bookmarkEnd w:id="2283"/>
      <w:bookmarkEnd w:id="2284"/>
      <w:bookmarkEnd w:id="2285"/>
      <w:bookmarkEnd w:id="2286"/>
      <w:bookmarkEnd w:id="2287"/>
      <w:bookmarkEnd w:id="2288"/>
      <w:bookmarkEnd w:id="2289"/>
    </w:p>
    <w:p>
      <w:pPr>
        <w:pStyle w:val="2"/>
        <w:numPr>
          <w:ilvl w:val="0"/>
          <w:numId w:val="0"/>
        </w:numPr>
        <w:ind w:left="420"/>
      </w:pPr>
    </w:p>
    <w:p>
      <w:pPr>
        <w:pStyle w:val="3"/>
      </w:pPr>
      <w:bookmarkStart w:id="2290" w:name="_Toc28615"/>
      <w:bookmarkStart w:id="2291" w:name="_Toc7997"/>
      <w:bookmarkStart w:id="2292" w:name="_Toc32317"/>
      <w:bookmarkStart w:id="2293" w:name="_Toc21775"/>
      <w:bookmarkStart w:id="2294" w:name="_Toc27139"/>
      <w:bookmarkStart w:id="2295" w:name="_Toc27800"/>
      <w:bookmarkStart w:id="2296" w:name="_Toc22302"/>
      <w:bookmarkStart w:id="2297" w:name="_Toc9503"/>
      <w:bookmarkStart w:id="2298" w:name="_Toc28312"/>
      <w:bookmarkStart w:id="2299" w:name="_Toc10750"/>
      <w:bookmarkStart w:id="2300" w:name="_Toc13863"/>
      <w:bookmarkStart w:id="2301" w:name="_Toc25495"/>
      <w:bookmarkStart w:id="2302" w:name="_Toc4287"/>
      <w:bookmarkStart w:id="2303" w:name="_Toc4878"/>
      <w:r>
        <w:rPr>
          <w:rFonts w:hint="eastAsia"/>
        </w:rPr>
        <w:t>苏州市建设工程价格信息员管理办法</w:t>
      </w:r>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p>
    <w:p>
      <w:pPr>
        <w:widowControl/>
        <w:spacing w:line="600" w:lineRule="exact"/>
        <w:ind w:firstLine="602"/>
        <w:jc w:val="left"/>
        <w:rPr>
          <w:rFonts w:ascii="宋体" w:hAnsi="宋体"/>
          <w:b/>
          <w:color w:val="000000"/>
          <w:kern w:val="0"/>
          <w:sz w:val="30"/>
          <w:szCs w:val="30"/>
        </w:rPr>
      </w:pPr>
      <w:r>
        <w:rPr>
          <w:rFonts w:hint="eastAsia" w:ascii="宋体" w:hAnsi="宋体"/>
          <w:b/>
          <w:color w:val="000000"/>
          <w:kern w:val="0"/>
          <w:sz w:val="30"/>
          <w:szCs w:val="30"/>
        </w:rPr>
        <w:t xml:space="preserve"> </w:t>
      </w:r>
    </w:p>
    <w:p>
      <w:pPr>
        <w:ind w:firstLine="562"/>
      </w:pPr>
      <w:r>
        <w:rPr>
          <w:rFonts w:hint="eastAsia"/>
          <w:b/>
          <w:bCs/>
        </w:rPr>
        <w:t>第一条</w:t>
      </w:r>
      <w:r>
        <w:rPr>
          <w:rFonts w:hint="eastAsia"/>
        </w:rPr>
        <w:t xml:space="preserve"> 为进一步规范全市建设市场秩序，完善建设工程价格信息采集制度，合理确定和有效控制建设工程计价依据，确保工程价格信息发布的准确性和及时性，依据《江苏省建设工程造价信息发布管理办法》等相关法律、法规，结合本市实际，制定本办法。</w:t>
      </w:r>
    </w:p>
    <w:p>
      <w:pPr>
        <w:ind w:firstLine="562"/>
      </w:pPr>
      <w:r>
        <w:rPr>
          <w:rFonts w:hint="eastAsia"/>
          <w:b/>
          <w:bCs/>
        </w:rPr>
        <w:t>第二条</w:t>
      </w:r>
      <w:r>
        <w:rPr>
          <w:rFonts w:hint="eastAsia"/>
        </w:rPr>
        <w:t xml:space="preserve"> 本办法所称苏州市建设工程价格信息员（以下简称信息员）是指由苏州市工程造价管理处（以下简称市造价处）聘用和管理，向市造价处提供人工、建材、苗木及机械设备等价格信息的法人单位或个人，包括中介咨询机构、施工企业、建设单位、建材生产经营企业及相关专业协会和自然人。</w:t>
      </w:r>
    </w:p>
    <w:p>
      <w:pPr>
        <w:ind w:firstLine="562"/>
      </w:pPr>
      <w:r>
        <w:rPr>
          <w:rFonts w:hint="eastAsia"/>
          <w:b/>
          <w:bCs/>
        </w:rPr>
        <w:t>第三条</w:t>
      </w:r>
      <w:r>
        <w:rPr>
          <w:rFonts w:hint="eastAsia"/>
        </w:rPr>
        <w:t xml:space="preserve"> 从事建设工程价格信息采集活动应当遵循合法、客观公正、诚实信用的原则，不得损害社会公共利益和他人的合法权益。</w:t>
      </w:r>
    </w:p>
    <w:p>
      <w:pPr>
        <w:ind w:firstLine="562"/>
      </w:pPr>
      <w:r>
        <w:rPr>
          <w:rFonts w:hint="eastAsia"/>
          <w:b/>
          <w:bCs/>
        </w:rPr>
        <w:t>第四条</w:t>
      </w:r>
      <w:r>
        <w:rPr>
          <w:rFonts w:hint="eastAsia"/>
        </w:rPr>
        <w:t xml:space="preserve"> 信息员日常管理工作由市造价处具体负责。</w:t>
      </w:r>
    </w:p>
    <w:p>
      <w:pPr>
        <w:ind w:firstLine="562"/>
      </w:pPr>
      <w:r>
        <w:rPr>
          <w:rFonts w:hint="eastAsia"/>
          <w:b/>
          <w:bCs/>
        </w:rPr>
        <w:t>第五条</w:t>
      </w:r>
      <w:r>
        <w:rPr>
          <w:rFonts w:hint="eastAsia"/>
        </w:rPr>
        <w:t xml:space="preserve"> 法人信息员申报条件：</w:t>
      </w:r>
    </w:p>
    <w:p>
      <w:pPr>
        <w:ind w:firstLine="560"/>
      </w:pPr>
      <w:r>
        <w:rPr>
          <w:rFonts w:hint="eastAsia"/>
        </w:rPr>
        <w:t>（一） 贯彻执行党和国家的方针、政策，遵守建设工程价格信息管理各项制度，诚实守信的合法法人；</w:t>
      </w:r>
    </w:p>
    <w:p>
      <w:pPr>
        <w:ind w:firstLine="560"/>
      </w:pPr>
      <w:r>
        <w:rPr>
          <w:rFonts w:hint="eastAsia"/>
        </w:rPr>
        <w:t>（二） 造价咨询企业具备甲级资质，施工企业具备壹级资质及以上；</w:t>
      </w:r>
    </w:p>
    <w:p>
      <w:pPr>
        <w:ind w:firstLine="560"/>
      </w:pPr>
      <w:r>
        <w:rPr>
          <w:rFonts w:hint="eastAsia"/>
        </w:rPr>
        <w:t>（三） 上一年度所属行业无不良记录。</w:t>
      </w:r>
    </w:p>
    <w:p>
      <w:pPr>
        <w:ind w:firstLine="562"/>
      </w:pPr>
      <w:r>
        <w:rPr>
          <w:rFonts w:hint="eastAsia"/>
          <w:b/>
          <w:bCs/>
        </w:rPr>
        <w:t>第六条</w:t>
      </w:r>
      <w:r>
        <w:rPr>
          <w:rFonts w:hint="eastAsia"/>
        </w:rPr>
        <w:t xml:space="preserve"> 自然人信息员申报条件：</w:t>
      </w:r>
    </w:p>
    <w:p>
      <w:pPr>
        <w:ind w:firstLine="560"/>
      </w:pPr>
      <w:r>
        <w:rPr>
          <w:rFonts w:hint="eastAsia"/>
        </w:rPr>
        <w:t>（一） 贯彻执行党和国家的方针、政策，遵守建设工程价格信息管理各项制度，认真履行工作职责；</w:t>
      </w:r>
    </w:p>
    <w:p>
      <w:pPr>
        <w:ind w:firstLine="560"/>
      </w:pPr>
      <w:r>
        <w:rPr>
          <w:rFonts w:hint="eastAsia"/>
        </w:rPr>
        <w:t>（二） 具有建筑工程相关专业知识，熟悉建筑材料、机械设备的性能及用途，掌握建筑市场各类价格行情，相关工作五年及五年以上。</w:t>
      </w:r>
    </w:p>
    <w:p>
      <w:pPr>
        <w:ind w:firstLine="562"/>
      </w:pPr>
      <w:r>
        <w:rPr>
          <w:rFonts w:hint="eastAsia"/>
          <w:b/>
          <w:bCs/>
        </w:rPr>
        <w:t>第七条</w:t>
      </w:r>
      <w:r>
        <w:rPr>
          <w:rFonts w:hint="eastAsia"/>
        </w:rPr>
        <w:t xml:space="preserve"> 信息员聘用程序：</w:t>
      </w:r>
    </w:p>
    <w:p>
      <w:pPr>
        <w:ind w:firstLine="560"/>
      </w:pPr>
      <w:r>
        <w:rPr>
          <w:rFonts w:hint="eastAsia"/>
        </w:rPr>
        <w:t>（一）申请人填报《苏州市建设工程价格信息员申请表》；</w:t>
      </w:r>
    </w:p>
    <w:p>
      <w:pPr>
        <w:ind w:firstLine="560"/>
      </w:pPr>
      <w:r>
        <w:rPr>
          <w:rFonts w:hint="eastAsia"/>
        </w:rPr>
        <w:t>（二）申请人对照申报条件提供相关证明材料；</w:t>
      </w:r>
    </w:p>
    <w:p>
      <w:pPr>
        <w:ind w:firstLine="560"/>
      </w:pPr>
      <w:r>
        <w:rPr>
          <w:rFonts w:hint="eastAsia"/>
        </w:rPr>
        <w:t>（三）市造价处负责资格审查及核准；</w:t>
      </w:r>
    </w:p>
    <w:p>
      <w:pPr>
        <w:ind w:firstLine="560"/>
      </w:pPr>
      <w:r>
        <w:rPr>
          <w:rFonts w:hint="eastAsia"/>
        </w:rPr>
        <w:t>（四）苏州市住房和城乡建设局官网公示信息员拟聘名单；</w:t>
      </w:r>
    </w:p>
    <w:p>
      <w:pPr>
        <w:ind w:firstLine="560"/>
      </w:pPr>
      <w:r>
        <w:rPr>
          <w:rFonts w:hint="eastAsia"/>
        </w:rPr>
        <w:t>（五）市造价处颁发年度《苏州市建设工程价格信息员》聘书。</w:t>
      </w:r>
    </w:p>
    <w:p>
      <w:pPr>
        <w:ind w:firstLine="562"/>
      </w:pPr>
      <w:r>
        <w:rPr>
          <w:rFonts w:hint="eastAsia"/>
          <w:b/>
          <w:bCs/>
        </w:rPr>
        <w:t>第八条</w:t>
      </w:r>
      <w:r>
        <w:rPr>
          <w:rFonts w:hint="eastAsia"/>
        </w:rPr>
        <w:t xml:space="preserve"> 信息员采集价格的原则：</w:t>
      </w:r>
    </w:p>
    <w:p>
      <w:pPr>
        <w:ind w:firstLine="560"/>
      </w:pPr>
      <w:r>
        <w:rPr>
          <w:rFonts w:hint="eastAsia"/>
        </w:rPr>
        <w:t>（一）合格原则：采集价格的材料必须是符合国家标准的合格品及以上；</w:t>
      </w:r>
    </w:p>
    <w:p>
      <w:pPr>
        <w:ind w:firstLine="560"/>
      </w:pPr>
      <w:r>
        <w:rPr>
          <w:rFonts w:hint="eastAsia"/>
        </w:rPr>
        <w:t>（二）批量原则：采集价格的材料必须具备一定成交量；</w:t>
      </w:r>
    </w:p>
    <w:p>
      <w:pPr>
        <w:ind w:firstLine="560"/>
      </w:pPr>
      <w:r>
        <w:rPr>
          <w:rFonts w:hint="eastAsia"/>
        </w:rPr>
        <w:t>（三）正常成交原则：采集的价格必须是正常情况下成交的价格，应排除非正常因素；</w:t>
      </w:r>
    </w:p>
    <w:p>
      <w:pPr>
        <w:ind w:firstLine="560"/>
      </w:pPr>
      <w:r>
        <w:rPr>
          <w:rFonts w:hint="eastAsia"/>
        </w:rPr>
        <w:t>（四）准确原则：采集的价格应反映客观，与市场成交价基本一致；</w:t>
      </w:r>
    </w:p>
    <w:p>
      <w:pPr>
        <w:ind w:firstLine="560"/>
      </w:pPr>
      <w:r>
        <w:rPr>
          <w:rFonts w:hint="eastAsia"/>
        </w:rPr>
        <w:t>（五）及时原则：采集时点应为上报前，一定时期(即时或短期)的价格；</w:t>
      </w:r>
    </w:p>
    <w:p>
      <w:pPr>
        <w:ind w:firstLine="560"/>
      </w:pPr>
      <w:r>
        <w:rPr>
          <w:rFonts w:hint="eastAsia"/>
        </w:rPr>
        <w:t>（六）可靠原则：采集价格的材料应保证供应，避免有价无市。</w:t>
      </w:r>
    </w:p>
    <w:p>
      <w:pPr>
        <w:ind w:firstLine="562"/>
      </w:pPr>
      <w:r>
        <w:rPr>
          <w:rFonts w:hint="eastAsia"/>
          <w:b/>
          <w:bCs/>
        </w:rPr>
        <w:t>第九条</w:t>
      </w:r>
      <w:r>
        <w:rPr>
          <w:rFonts w:hint="eastAsia"/>
        </w:rPr>
        <w:t xml:space="preserve"> 信息员的主要工作职责：</w:t>
      </w:r>
    </w:p>
    <w:p>
      <w:pPr>
        <w:ind w:firstLine="560"/>
      </w:pPr>
      <w:r>
        <w:rPr>
          <w:rFonts w:hint="eastAsia"/>
        </w:rPr>
        <w:t>（一） 应按管理规定和要求，全面、客观、及时采集和上报价格信息，对价格信息的真实有效性负责；</w:t>
      </w:r>
    </w:p>
    <w:p>
      <w:pPr>
        <w:ind w:firstLine="560"/>
      </w:pPr>
      <w:r>
        <w:rPr>
          <w:rFonts w:hint="eastAsia"/>
        </w:rPr>
        <w:t>（二） 应在每月20日之前，按管理规定和要求上报价格信息，如遇价格大幅波动，须及时反馈价格信息；</w:t>
      </w:r>
    </w:p>
    <w:p>
      <w:pPr>
        <w:ind w:firstLine="560"/>
      </w:pPr>
      <w:r>
        <w:rPr>
          <w:rFonts w:hint="eastAsia"/>
        </w:rPr>
        <w:t>（三） 每月价格必须按照规定格式填报，不得漏报、虚报、瞒报；</w:t>
      </w:r>
    </w:p>
    <w:p>
      <w:pPr>
        <w:ind w:firstLine="560"/>
      </w:pPr>
      <w:r>
        <w:rPr>
          <w:rFonts w:hint="eastAsia"/>
        </w:rPr>
        <w:t>（四） 上报价格应为到工地价，其他需说明的可在备注中标注；</w:t>
      </w:r>
    </w:p>
    <w:p>
      <w:pPr>
        <w:ind w:firstLine="560"/>
      </w:pPr>
      <w:r>
        <w:rPr>
          <w:rFonts w:hint="eastAsia"/>
        </w:rPr>
        <w:t>（五） 按管理要求参加市造价处不定期组织的业务工作会、专题研讨会、业务培训会、调研考察等。</w:t>
      </w:r>
    </w:p>
    <w:p>
      <w:pPr>
        <w:keepNext w:val="0"/>
        <w:keepLines w:val="0"/>
        <w:pageBreakBefore w:val="0"/>
        <w:widowControl w:val="0"/>
        <w:kinsoku/>
        <w:wordWrap/>
        <w:overflowPunct/>
        <w:topLinePunct w:val="0"/>
        <w:autoSpaceDE/>
        <w:autoSpaceDN/>
        <w:bidi w:val="0"/>
        <w:adjustRightInd/>
        <w:snapToGrid/>
        <w:spacing w:line="480" w:lineRule="exact"/>
        <w:ind w:firstLine="562"/>
        <w:textAlignment w:val="auto"/>
      </w:pPr>
      <w:r>
        <w:rPr>
          <w:rFonts w:hint="eastAsia"/>
          <w:b/>
          <w:bCs/>
        </w:rPr>
        <w:t>第十条</w:t>
      </w:r>
      <w:r>
        <w:rPr>
          <w:rFonts w:hint="eastAsia"/>
        </w:rPr>
        <w:t xml:space="preserve"> 信息员享有的权利：</w:t>
      </w:r>
    </w:p>
    <w:p>
      <w:pPr>
        <w:keepNext w:val="0"/>
        <w:keepLines w:val="0"/>
        <w:pageBreakBefore w:val="0"/>
        <w:widowControl w:val="0"/>
        <w:kinsoku/>
        <w:wordWrap/>
        <w:overflowPunct/>
        <w:topLinePunct w:val="0"/>
        <w:autoSpaceDE/>
        <w:autoSpaceDN/>
        <w:bidi w:val="0"/>
        <w:adjustRightInd/>
        <w:snapToGrid/>
        <w:spacing w:line="480" w:lineRule="exact"/>
        <w:ind w:firstLine="560"/>
        <w:textAlignment w:val="auto"/>
      </w:pPr>
      <w:r>
        <w:rPr>
          <w:rFonts w:hint="eastAsia"/>
        </w:rPr>
        <w:t>（一） 聘期内每月免费获赠一份《苏州工程造价信息》；</w:t>
      </w:r>
    </w:p>
    <w:p>
      <w:pPr>
        <w:keepNext w:val="0"/>
        <w:keepLines w:val="0"/>
        <w:pageBreakBefore w:val="0"/>
        <w:widowControl w:val="0"/>
        <w:kinsoku/>
        <w:wordWrap/>
        <w:overflowPunct/>
        <w:topLinePunct w:val="0"/>
        <w:autoSpaceDE/>
        <w:autoSpaceDN/>
        <w:bidi w:val="0"/>
        <w:adjustRightInd/>
        <w:snapToGrid/>
        <w:spacing w:line="480" w:lineRule="exact"/>
        <w:ind w:firstLine="560"/>
        <w:textAlignment w:val="auto"/>
      </w:pPr>
      <w:r>
        <w:rPr>
          <w:rFonts w:hint="eastAsia"/>
        </w:rPr>
        <w:t>（二） 聘期内获刊登企业信息优先权。</w:t>
      </w:r>
    </w:p>
    <w:p>
      <w:pPr>
        <w:keepNext w:val="0"/>
        <w:keepLines w:val="0"/>
        <w:pageBreakBefore w:val="0"/>
        <w:widowControl w:val="0"/>
        <w:kinsoku/>
        <w:wordWrap/>
        <w:overflowPunct/>
        <w:topLinePunct w:val="0"/>
        <w:autoSpaceDE/>
        <w:autoSpaceDN/>
        <w:bidi w:val="0"/>
        <w:adjustRightInd/>
        <w:snapToGrid/>
        <w:spacing w:line="480" w:lineRule="exact"/>
        <w:ind w:firstLine="562"/>
        <w:textAlignment w:val="auto"/>
      </w:pPr>
      <w:r>
        <w:rPr>
          <w:rFonts w:hint="eastAsia"/>
          <w:b/>
          <w:bCs/>
        </w:rPr>
        <w:t>第十一条</w:t>
      </w:r>
      <w:r>
        <w:rPr>
          <w:rFonts w:hint="eastAsia"/>
        </w:rPr>
        <w:t xml:space="preserve"> 信息员日常管理：</w:t>
      </w:r>
    </w:p>
    <w:p>
      <w:pPr>
        <w:keepNext w:val="0"/>
        <w:keepLines w:val="0"/>
        <w:pageBreakBefore w:val="0"/>
        <w:widowControl w:val="0"/>
        <w:kinsoku/>
        <w:wordWrap/>
        <w:overflowPunct/>
        <w:topLinePunct w:val="0"/>
        <w:autoSpaceDE/>
        <w:autoSpaceDN/>
        <w:bidi w:val="0"/>
        <w:adjustRightInd/>
        <w:snapToGrid/>
        <w:spacing w:line="480" w:lineRule="exact"/>
        <w:ind w:firstLine="560"/>
        <w:textAlignment w:val="auto"/>
      </w:pPr>
      <w:r>
        <w:rPr>
          <w:rFonts w:hint="eastAsia"/>
        </w:rPr>
        <w:t>（一） 建立信息员库，实行积分考核管理制度；</w:t>
      </w:r>
    </w:p>
    <w:p>
      <w:pPr>
        <w:keepNext w:val="0"/>
        <w:keepLines w:val="0"/>
        <w:pageBreakBefore w:val="0"/>
        <w:widowControl w:val="0"/>
        <w:kinsoku/>
        <w:wordWrap/>
        <w:overflowPunct/>
        <w:topLinePunct w:val="0"/>
        <w:autoSpaceDE/>
        <w:autoSpaceDN/>
        <w:bidi w:val="0"/>
        <w:adjustRightInd/>
        <w:snapToGrid/>
        <w:spacing w:line="480" w:lineRule="exact"/>
        <w:ind w:firstLine="560"/>
        <w:textAlignment w:val="auto"/>
      </w:pPr>
      <w:r>
        <w:rPr>
          <w:rFonts w:hint="eastAsia"/>
        </w:rPr>
        <w:t>（二） 信息员考核采用百分制，分值由基准分、日常工作分、突出表现分三部分组成，分别按照40%、48%、12%权重汇总得分。日常工作分考核按信息员报送价格准确、及时为原则，一经采用得4分/月，市造价处根据信息员在年度价格信息上报工作中有突出表现的给予1~12加分；</w:t>
      </w:r>
    </w:p>
    <w:p>
      <w:pPr>
        <w:keepNext w:val="0"/>
        <w:keepLines w:val="0"/>
        <w:pageBreakBefore w:val="0"/>
        <w:widowControl w:val="0"/>
        <w:kinsoku/>
        <w:wordWrap/>
        <w:overflowPunct/>
        <w:topLinePunct w:val="0"/>
        <w:autoSpaceDE/>
        <w:autoSpaceDN/>
        <w:bidi w:val="0"/>
        <w:adjustRightInd/>
        <w:snapToGrid/>
        <w:spacing w:line="480" w:lineRule="exact"/>
        <w:ind w:firstLine="560"/>
        <w:textAlignment w:val="auto"/>
      </w:pPr>
      <w:r>
        <w:rPr>
          <w:rFonts w:hint="eastAsia"/>
        </w:rPr>
        <w:t>（三）信息员未按规定履行第九条工作职责的，视情节轻重给予3-5分/次扣分；</w:t>
      </w:r>
    </w:p>
    <w:p>
      <w:pPr>
        <w:keepNext w:val="0"/>
        <w:keepLines w:val="0"/>
        <w:pageBreakBefore w:val="0"/>
        <w:widowControl w:val="0"/>
        <w:kinsoku/>
        <w:wordWrap/>
        <w:overflowPunct/>
        <w:topLinePunct w:val="0"/>
        <w:autoSpaceDE/>
        <w:autoSpaceDN/>
        <w:bidi w:val="0"/>
        <w:adjustRightInd/>
        <w:snapToGrid/>
        <w:spacing w:line="480" w:lineRule="exact"/>
        <w:ind w:firstLine="560"/>
        <w:textAlignment w:val="auto"/>
      </w:pPr>
      <w:r>
        <w:rPr>
          <w:rFonts w:hint="eastAsia"/>
        </w:rPr>
        <w:t>（四） 每年年初由市造价处各专业组负责人按上一年度统计结果为依据考核，考核等次分为优秀、良好、合格、不合格，90分以上（含90分）考核为优秀，90分~80分（含80分）考核为良好，80分~60分（含60分）考核为合格，60分以下考核为不合格。</w:t>
      </w:r>
    </w:p>
    <w:p>
      <w:pPr>
        <w:keepNext w:val="0"/>
        <w:keepLines w:val="0"/>
        <w:pageBreakBefore w:val="0"/>
        <w:widowControl w:val="0"/>
        <w:kinsoku/>
        <w:wordWrap/>
        <w:overflowPunct/>
        <w:topLinePunct w:val="0"/>
        <w:autoSpaceDE/>
        <w:autoSpaceDN/>
        <w:bidi w:val="0"/>
        <w:adjustRightInd/>
        <w:snapToGrid/>
        <w:spacing w:line="480" w:lineRule="exact"/>
        <w:ind w:firstLine="562"/>
        <w:textAlignment w:val="auto"/>
      </w:pPr>
      <w:r>
        <w:rPr>
          <w:rFonts w:hint="eastAsia"/>
          <w:b/>
          <w:bCs/>
        </w:rPr>
        <w:t xml:space="preserve">第十二条 </w:t>
      </w:r>
      <w:r>
        <w:rPr>
          <w:rFonts w:hint="eastAsia"/>
        </w:rPr>
        <w:t>信息员年度积分考核等次为优秀的，由市造价处授予“年度建设工程价格优秀信息员”称号，颁发荣誉证书，予以通报表彰，并给予一定奖励。年度优秀信息员为造价咨询企业的，追加年度企业信用分。</w:t>
      </w:r>
    </w:p>
    <w:p>
      <w:pPr>
        <w:keepNext w:val="0"/>
        <w:keepLines w:val="0"/>
        <w:pageBreakBefore w:val="0"/>
        <w:widowControl w:val="0"/>
        <w:kinsoku/>
        <w:wordWrap/>
        <w:overflowPunct/>
        <w:topLinePunct w:val="0"/>
        <w:autoSpaceDE/>
        <w:autoSpaceDN/>
        <w:bidi w:val="0"/>
        <w:adjustRightInd/>
        <w:snapToGrid/>
        <w:spacing w:line="480" w:lineRule="exact"/>
        <w:ind w:firstLine="562"/>
        <w:textAlignment w:val="auto"/>
      </w:pPr>
      <w:r>
        <w:rPr>
          <w:rFonts w:hint="eastAsia"/>
          <w:b/>
          <w:bCs/>
        </w:rPr>
        <w:t>第十三条</w:t>
      </w:r>
      <w:r>
        <w:rPr>
          <w:rFonts w:hint="eastAsia"/>
        </w:rPr>
        <w:t xml:space="preserve"> 信息员年度积分考核为不合格的，予以解聘，三年内不得再次申报苏州市建设工程价格信息员，并通报信息员所属行业主管部门。年度考核等次为不合格的信息员是造价咨询企业的，将纳入信用考核予以扣分。</w:t>
      </w:r>
    </w:p>
    <w:p>
      <w:pPr>
        <w:keepNext w:val="0"/>
        <w:keepLines w:val="0"/>
        <w:pageBreakBefore w:val="0"/>
        <w:widowControl w:val="0"/>
        <w:kinsoku/>
        <w:wordWrap/>
        <w:overflowPunct/>
        <w:topLinePunct w:val="0"/>
        <w:autoSpaceDE/>
        <w:autoSpaceDN/>
        <w:bidi w:val="0"/>
        <w:adjustRightInd/>
        <w:snapToGrid/>
        <w:spacing w:line="480" w:lineRule="exact"/>
        <w:ind w:firstLine="562"/>
        <w:textAlignment w:val="auto"/>
      </w:pPr>
      <w:r>
        <w:rPr>
          <w:rFonts w:hint="eastAsia"/>
          <w:b/>
          <w:bCs/>
        </w:rPr>
        <w:t>第十四条</w:t>
      </w:r>
      <w:r>
        <w:rPr>
          <w:rFonts w:hint="eastAsia"/>
        </w:rPr>
        <w:t xml:space="preserve"> 信息员发生违背信息员采集价格的原则、严重违反信息员工作职责、不遵守信息员日常管理等行为，一经查实，予以解聘。   </w:t>
      </w:r>
    </w:p>
    <w:p>
      <w:pPr>
        <w:keepNext w:val="0"/>
        <w:keepLines w:val="0"/>
        <w:pageBreakBefore w:val="0"/>
        <w:widowControl w:val="0"/>
        <w:kinsoku/>
        <w:wordWrap/>
        <w:overflowPunct/>
        <w:topLinePunct w:val="0"/>
        <w:autoSpaceDE/>
        <w:autoSpaceDN/>
        <w:bidi w:val="0"/>
        <w:adjustRightInd/>
        <w:snapToGrid/>
        <w:spacing w:line="480" w:lineRule="exact"/>
        <w:ind w:firstLine="562"/>
        <w:textAlignment w:val="auto"/>
        <w:rPr>
          <w:rFonts w:ascii="宋体" w:hAnsi="宋体"/>
          <w:kern w:val="0"/>
          <w:szCs w:val="28"/>
        </w:rPr>
      </w:pPr>
      <w:r>
        <w:rPr>
          <w:rFonts w:hint="eastAsia"/>
          <w:b/>
          <w:bCs/>
        </w:rPr>
        <w:t>第十五条</w:t>
      </w:r>
      <w:r>
        <w:rPr>
          <w:rFonts w:hint="eastAsia"/>
        </w:rPr>
        <w:t xml:space="preserve"> 本办法自2019年1月1日起施行，由苏州市工程造价管理处负责解释，各区、县（市）造价管理部门参照执行。苏州市工程造价管理处2012年 9 月20日发布的《苏州市工程材料价格信息员管理办法》同时废止。   </w:t>
      </w:r>
      <w:r>
        <w:rPr>
          <w:rFonts w:hint="eastAsia" w:ascii="宋体" w:hAnsi="宋体"/>
          <w:kern w:val="0"/>
          <w:szCs w:val="28"/>
        </w:rPr>
        <w:t xml:space="preserve"> </w:t>
      </w:r>
    </w:p>
    <w:p>
      <w:pPr>
        <w:widowControl/>
        <w:spacing w:line="460" w:lineRule="exact"/>
        <w:ind w:firstLine="0" w:firstLineChars="0"/>
        <w:outlineLvl w:val="0"/>
        <w:rPr>
          <w:rFonts w:ascii="宋体" w:hAnsi="宋体"/>
          <w:kern w:val="0"/>
          <w:szCs w:val="28"/>
        </w:rPr>
      </w:pPr>
      <w:r>
        <w:rPr>
          <w:rFonts w:ascii="宋体" w:hAnsi="宋体"/>
          <w:kern w:val="0"/>
          <w:szCs w:val="28"/>
        </w:rPr>
        <w:br w:type="page"/>
      </w:r>
      <w:bookmarkStart w:id="2304" w:name="_Toc22108"/>
      <w:bookmarkStart w:id="2305" w:name="_Toc32688"/>
      <w:bookmarkStart w:id="2306" w:name="_Toc13204"/>
      <w:bookmarkStart w:id="2307" w:name="_Toc1464"/>
      <w:bookmarkStart w:id="2308" w:name="_Toc26915"/>
      <w:bookmarkStart w:id="2309" w:name="_Toc27305"/>
      <w:bookmarkStart w:id="2310" w:name="_Toc4288"/>
      <w:bookmarkStart w:id="2311" w:name="_Toc29497"/>
      <w:bookmarkStart w:id="2312" w:name="_Toc27522"/>
      <w:bookmarkStart w:id="2313" w:name="_Toc27183"/>
      <w:r>
        <w:rPr>
          <w:rFonts w:hint="eastAsia" w:ascii="宋体" w:hAnsi="宋体"/>
          <w:kern w:val="0"/>
          <w:szCs w:val="28"/>
        </w:rPr>
        <w:t>附件二：</w:t>
      </w:r>
      <w:bookmarkEnd w:id="2304"/>
      <w:bookmarkEnd w:id="2305"/>
      <w:bookmarkEnd w:id="2306"/>
      <w:bookmarkEnd w:id="2307"/>
      <w:bookmarkEnd w:id="2308"/>
      <w:bookmarkEnd w:id="2309"/>
      <w:bookmarkEnd w:id="2310"/>
      <w:bookmarkEnd w:id="2311"/>
      <w:bookmarkEnd w:id="2312"/>
      <w:bookmarkEnd w:id="2313"/>
      <w:r>
        <w:rPr>
          <w:rFonts w:hint="eastAsia" w:ascii="方正仿宋_GBK" w:hAnsi="宋体" w:eastAsia="方正仿宋_GBK" w:cs="Arial"/>
          <w:color w:val="000000"/>
          <w:kern w:val="0"/>
          <w:szCs w:val="28"/>
        </w:rPr>
        <w:t xml:space="preserve"> </w:t>
      </w:r>
    </w:p>
    <w:p>
      <w:pPr>
        <w:widowControl/>
        <w:spacing w:line="360" w:lineRule="auto"/>
        <w:ind w:firstLine="0" w:firstLineChars="0"/>
        <w:jc w:val="center"/>
        <w:outlineLvl w:val="0"/>
        <w:rPr>
          <w:rFonts w:ascii="宋体" w:hAnsi="宋体"/>
          <w:b/>
          <w:kern w:val="0"/>
          <w:sz w:val="32"/>
          <w:szCs w:val="32"/>
        </w:rPr>
      </w:pPr>
      <w:bookmarkStart w:id="2314" w:name="_Toc12112"/>
      <w:bookmarkStart w:id="2315" w:name="_Toc20700"/>
      <w:bookmarkStart w:id="2316" w:name="_Toc5385"/>
      <w:bookmarkStart w:id="2317" w:name="_Toc16926"/>
      <w:bookmarkStart w:id="2318" w:name="_Toc23326"/>
      <w:bookmarkStart w:id="2319" w:name="_Toc31736"/>
      <w:bookmarkStart w:id="2320" w:name="_Toc20673"/>
      <w:bookmarkStart w:id="2321" w:name="_Toc14365"/>
      <w:bookmarkStart w:id="2322" w:name="_Toc15485"/>
      <w:bookmarkStart w:id="2323" w:name="_Toc13994"/>
      <w:r>
        <w:rPr>
          <w:rFonts w:hint="eastAsia" w:ascii="宋体" w:hAnsi="宋体"/>
          <w:b/>
          <w:kern w:val="0"/>
          <w:sz w:val="32"/>
          <w:szCs w:val="32"/>
        </w:rPr>
        <w:t>苏州市建设工程价格信息员申请表</w:t>
      </w:r>
      <w:bookmarkEnd w:id="2314"/>
      <w:bookmarkEnd w:id="2315"/>
      <w:bookmarkEnd w:id="2316"/>
      <w:bookmarkEnd w:id="2317"/>
      <w:bookmarkEnd w:id="2318"/>
      <w:bookmarkEnd w:id="2319"/>
      <w:bookmarkEnd w:id="2320"/>
      <w:bookmarkEnd w:id="2321"/>
      <w:bookmarkEnd w:id="2322"/>
      <w:bookmarkEnd w:id="2323"/>
    </w:p>
    <w:tbl>
      <w:tblPr>
        <w:tblStyle w:val="22"/>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2126"/>
        <w:gridCol w:w="426"/>
        <w:gridCol w:w="1346"/>
        <w:gridCol w:w="71"/>
        <w:gridCol w:w="284"/>
        <w:gridCol w:w="1559"/>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tcBorders>
              <w:top w:val="single" w:color="auto" w:sz="4" w:space="0"/>
              <w:left w:val="single" w:color="auto" w:sz="4" w:space="0"/>
              <w:bottom w:val="single" w:color="auto" w:sz="4" w:space="0"/>
              <w:right w:val="single" w:color="auto" w:sz="4" w:space="0"/>
            </w:tcBorders>
          </w:tcPr>
          <w:p>
            <w:pPr>
              <w:ind w:firstLine="0" w:firstLineChars="0"/>
              <w:jc w:val="center"/>
              <w:rPr>
                <w:rFonts w:ascii="Calibri" w:hAnsi="Calibri"/>
                <w:szCs w:val="28"/>
              </w:rPr>
            </w:pPr>
          </w:p>
          <w:p>
            <w:pPr>
              <w:ind w:firstLine="0" w:firstLineChars="0"/>
              <w:jc w:val="center"/>
              <w:rPr>
                <w:szCs w:val="28"/>
              </w:rPr>
            </w:pPr>
          </w:p>
          <w:p>
            <w:pPr>
              <w:ind w:firstLine="0" w:firstLineChars="0"/>
              <w:jc w:val="center"/>
              <w:rPr>
                <w:szCs w:val="28"/>
              </w:rPr>
            </w:pPr>
            <w:r>
              <w:rPr>
                <w:rFonts w:ascii="宋体" w:hAnsi="宋体"/>
                <w:szCs w:val="28"/>
              </w:rPr>
              <w:t>法</w:t>
            </w:r>
          </w:p>
          <w:p>
            <w:pPr>
              <w:ind w:firstLine="0" w:firstLineChars="0"/>
              <w:jc w:val="center"/>
              <w:rPr>
                <w:szCs w:val="28"/>
              </w:rPr>
            </w:pPr>
            <w:r>
              <w:rPr>
                <w:rFonts w:hint="eastAsia" w:ascii="宋体" w:hAnsi="宋体"/>
                <w:szCs w:val="28"/>
              </w:rPr>
              <w:t>人</w:t>
            </w:r>
          </w:p>
          <w:p>
            <w:pPr>
              <w:ind w:firstLine="0" w:firstLineChars="0"/>
              <w:jc w:val="center"/>
              <w:rPr>
                <w:szCs w:val="28"/>
              </w:rPr>
            </w:pPr>
            <w:r>
              <w:rPr>
                <w:rFonts w:hint="eastAsia" w:ascii="宋体" w:hAnsi="宋体"/>
                <w:szCs w:val="28"/>
              </w:rPr>
              <w:t>信</w:t>
            </w:r>
          </w:p>
          <w:p>
            <w:pPr>
              <w:ind w:firstLine="0" w:firstLineChars="0"/>
              <w:jc w:val="center"/>
              <w:rPr>
                <w:szCs w:val="28"/>
              </w:rPr>
            </w:pPr>
            <w:r>
              <w:rPr>
                <w:rFonts w:hint="eastAsia" w:ascii="宋体" w:hAnsi="宋体"/>
                <w:szCs w:val="28"/>
              </w:rPr>
              <w:t>息</w:t>
            </w:r>
          </w:p>
          <w:p>
            <w:pPr>
              <w:ind w:firstLine="0" w:firstLineChars="0"/>
              <w:jc w:val="center"/>
              <w:rPr>
                <w:szCs w:val="28"/>
              </w:rPr>
            </w:pPr>
            <w:r>
              <w:rPr>
                <w:rFonts w:hint="eastAsia" w:ascii="宋体" w:hAnsi="宋体"/>
                <w:szCs w:val="28"/>
              </w:rPr>
              <w:t>员</w:t>
            </w:r>
          </w:p>
          <w:p>
            <w:pPr>
              <w:ind w:firstLine="0" w:firstLineChars="0"/>
              <w:rPr>
                <w:szCs w:val="28"/>
              </w:rPr>
            </w:pPr>
          </w:p>
        </w:tc>
        <w:tc>
          <w:tcPr>
            <w:tcW w:w="2552" w:type="dxa"/>
            <w:gridSpan w:val="2"/>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单位名称</w:t>
            </w:r>
          </w:p>
        </w:tc>
        <w:tc>
          <w:tcPr>
            <w:tcW w:w="5244" w:type="dxa"/>
            <w:gridSpan w:val="5"/>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552" w:type="dxa"/>
            <w:gridSpan w:val="2"/>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单位地址</w:t>
            </w:r>
          </w:p>
        </w:tc>
        <w:tc>
          <w:tcPr>
            <w:tcW w:w="5244" w:type="dxa"/>
            <w:gridSpan w:val="5"/>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552" w:type="dxa"/>
            <w:gridSpan w:val="2"/>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hint="eastAsia" w:ascii="宋体" w:hAnsi="宋体"/>
                <w:szCs w:val="28"/>
              </w:rPr>
              <w:t>统一</w:t>
            </w:r>
            <w:r>
              <w:rPr>
                <w:rFonts w:ascii="宋体" w:hAnsi="宋体"/>
                <w:szCs w:val="28"/>
              </w:rPr>
              <w:t>社会信用号码</w:t>
            </w:r>
          </w:p>
        </w:tc>
        <w:tc>
          <w:tcPr>
            <w:tcW w:w="5244" w:type="dxa"/>
            <w:gridSpan w:val="5"/>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552" w:type="dxa"/>
            <w:gridSpan w:val="2"/>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法人代表</w:t>
            </w:r>
          </w:p>
        </w:tc>
        <w:tc>
          <w:tcPr>
            <w:tcW w:w="1701" w:type="dxa"/>
            <w:gridSpan w:val="3"/>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c>
          <w:tcPr>
            <w:tcW w:w="1559"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联系电话</w:t>
            </w:r>
          </w:p>
        </w:tc>
        <w:tc>
          <w:tcPr>
            <w:tcW w:w="1984"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552" w:type="dxa"/>
            <w:gridSpan w:val="2"/>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业务联系人</w:t>
            </w:r>
          </w:p>
        </w:tc>
        <w:tc>
          <w:tcPr>
            <w:tcW w:w="1701" w:type="dxa"/>
            <w:gridSpan w:val="3"/>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c>
          <w:tcPr>
            <w:tcW w:w="1559"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联系电话</w:t>
            </w:r>
          </w:p>
        </w:tc>
        <w:tc>
          <w:tcPr>
            <w:tcW w:w="1984"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8"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3969" w:type="dxa"/>
            <w:gridSpan w:val="4"/>
            <w:tcBorders>
              <w:top w:val="single" w:color="auto" w:sz="4" w:space="0"/>
              <w:left w:val="single" w:color="auto" w:sz="4" w:space="0"/>
              <w:bottom w:val="single" w:color="auto" w:sz="4" w:space="0"/>
              <w:right w:val="single" w:color="auto" w:sz="4" w:space="0"/>
            </w:tcBorders>
            <w:vAlign w:val="center"/>
          </w:tcPr>
          <w:p>
            <w:pPr>
              <w:ind w:firstLine="0" w:firstLineChars="0"/>
              <w:rPr>
                <w:szCs w:val="28"/>
              </w:rPr>
            </w:pPr>
            <w:r>
              <w:rPr>
                <w:rFonts w:ascii="宋体" w:hAnsi="宋体"/>
                <w:szCs w:val="28"/>
              </w:rPr>
              <w:t>法人信息员</w:t>
            </w:r>
          </w:p>
          <w:p>
            <w:pPr>
              <w:ind w:firstLine="0" w:firstLineChars="0"/>
              <w:rPr>
                <w:szCs w:val="28"/>
              </w:rPr>
            </w:pPr>
            <w:r>
              <w:rPr>
                <w:rFonts w:hint="eastAsia" w:ascii="宋体" w:hAnsi="宋体"/>
                <w:szCs w:val="28"/>
              </w:rPr>
              <w:t>（</w:t>
            </w:r>
            <w:r>
              <w:rPr>
                <w:rFonts w:ascii="宋体" w:hAnsi="宋体"/>
                <w:szCs w:val="28"/>
              </w:rPr>
              <w:t>签章</w:t>
            </w:r>
            <w:r>
              <w:rPr>
                <w:rFonts w:hint="eastAsia" w:ascii="宋体" w:hAnsi="宋体"/>
                <w:szCs w:val="28"/>
              </w:rPr>
              <w:t>）：</w:t>
            </w:r>
          </w:p>
        </w:tc>
        <w:tc>
          <w:tcPr>
            <w:tcW w:w="3827" w:type="dxa"/>
            <w:gridSpan w:val="3"/>
            <w:tcBorders>
              <w:top w:val="single" w:color="auto" w:sz="4" w:space="0"/>
              <w:left w:val="single" w:color="auto" w:sz="4" w:space="0"/>
              <w:bottom w:val="single" w:color="auto" w:sz="4" w:space="0"/>
              <w:right w:val="single" w:color="auto" w:sz="4" w:space="0"/>
            </w:tcBorders>
            <w:vAlign w:val="center"/>
          </w:tcPr>
          <w:p>
            <w:pPr>
              <w:ind w:firstLine="0" w:firstLineChars="0"/>
              <w:rPr>
                <w:szCs w:val="28"/>
              </w:rPr>
            </w:pPr>
            <w:r>
              <w:rPr>
                <w:rFonts w:ascii="宋体" w:hAnsi="宋体"/>
                <w:szCs w:val="28"/>
              </w:rPr>
              <w:t>业务联系人</w:t>
            </w:r>
          </w:p>
          <w:p>
            <w:pPr>
              <w:ind w:firstLine="0" w:firstLineChars="0"/>
              <w:rPr>
                <w:szCs w:val="28"/>
              </w:rPr>
            </w:pPr>
            <w:r>
              <w:rPr>
                <w:rFonts w:hint="eastAsia" w:ascii="宋体" w:hAnsi="宋体"/>
                <w:szCs w:val="28"/>
              </w:rPr>
              <w:t>（</w:t>
            </w:r>
            <w:r>
              <w:rPr>
                <w:rFonts w:ascii="宋体" w:hAnsi="宋体"/>
                <w:szCs w:val="28"/>
              </w:rPr>
              <w:t>签名</w:t>
            </w:r>
            <w:r>
              <w:rPr>
                <w:rFonts w:hint="eastAsia" w:ascii="宋体" w:hAnsi="宋体"/>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tcBorders>
              <w:top w:val="nil"/>
              <w:left w:val="single" w:color="auto" w:sz="4" w:space="0"/>
              <w:bottom w:val="single" w:color="auto" w:sz="4" w:space="0"/>
              <w:right w:val="single" w:color="auto" w:sz="4" w:space="0"/>
            </w:tcBorders>
          </w:tcPr>
          <w:p>
            <w:pPr>
              <w:ind w:firstLine="0" w:firstLineChars="0"/>
              <w:jc w:val="center"/>
              <w:rPr>
                <w:szCs w:val="28"/>
              </w:rPr>
            </w:pPr>
          </w:p>
          <w:p>
            <w:pPr>
              <w:ind w:firstLine="0" w:firstLineChars="0"/>
              <w:jc w:val="center"/>
              <w:rPr>
                <w:szCs w:val="28"/>
              </w:rPr>
            </w:pPr>
          </w:p>
          <w:p>
            <w:pPr>
              <w:ind w:firstLine="0" w:firstLineChars="0"/>
              <w:jc w:val="center"/>
              <w:rPr>
                <w:szCs w:val="28"/>
              </w:rPr>
            </w:pPr>
            <w:r>
              <w:rPr>
                <w:rFonts w:hint="eastAsia" w:ascii="宋体" w:hAnsi="宋体"/>
                <w:szCs w:val="28"/>
              </w:rPr>
              <w:t>自</w:t>
            </w:r>
          </w:p>
          <w:p>
            <w:pPr>
              <w:ind w:firstLine="0" w:firstLineChars="0"/>
              <w:jc w:val="center"/>
              <w:rPr>
                <w:szCs w:val="28"/>
              </w:rPr>
            </w:pPr>
            <w:r>
              <w:rPr>
                <w:rFonts w:hint="eastAsia" w:ascii="宋体" w:hAnsi="宋体"/>
                <w:szCs w:val="28"/>
              </w:rPr>
              <w:t>然</w:t>
            </w:r>
          </w:p>
          <w:p>
            <w:pPr>
              <w:ind w:firstLine="0" w:firstLineChars="0"/>
              <w:jc w:val="center"/>
              <w:rPr>
                <w:szCs w:val="28"/>
              </w:rPr>
            </w:pPr>
            <w:r>
              <w:rPr>
                <w:rFonts w:hint="eastAsia" w:ascii="宋体" w:hAnsi="宋体"/>
                <w:szCs w:val="28"/>
              </w:rPr>
              <w:t>人</w:t>
            </w:r>
          </w:p>
          <w:p>
            <w:pPr>
              <w:ind w:firstLine="0" w:firstLineChars="0"/>
              <w:jc w:val="center"/>
              <w:rPr>
                <w:szCs w:val="28"/>
              </w:rPr>
            </w:pPr>
            <w:r>
              <w:rPr>
                <w:rFonts w:hint="eastAsia" w:ascii="宋体" w:hAnsi="宋体"/>
                <w:szCs w:val="28"/>
              </w:rPr>
              <w:t>信</w:t>
            </w:r>
          </w:p>
          <w:p>
            <w:pPr>
              <w:ind w:firstLine="0" w:firstLineChars="0"/>
              <w:jc w:val="center"/>
              <w:rPr>
                <w:szCs w:val="28"/>
              </w:rPr>
            </w:pPr>
            <w:r>
              <w:rPr>
                <w:rFonts w:hint="eastAsia" w:ascii="宋体" w:hAnsi="宋体"/>
                <w:szCs w:val="28"/>
              </w:rPr>
              <w:t>息</w:t>
            </w:r>
          </w:p>
          <w:p>
            <w:pPr>
              <w:ind w:firstLine="0" w:firstLineChars="0"/>
              <w:jc w:val="center"/>
              <w:rPr>
                <w:szCs w:val="28"/>
              </w:rPr>
            </w:pPr>
            <w:r>
              <w:rPr>
                <w:rFonts w:hint="eastAsia" w:ascii="宋体" w:hAnsi="宋体"/>
                <w:szCs w:val="28"/>
              </w:rPr>
              <w:t>员</w:t>
            </w:r>
          </w:p>
          <w:p>
            <w:pPr>
              <w:ind w:firstLine="0" w:firstLineChars="0"/>
              <w:rPr>
                <w:szCs w:val="28"/>
              </w:rPr>
            </w:pPr>
            <w:r>
              <w:rPr>
                <w:szCs w:val="28"/>
              </w:rPr>
              <w:t xml:space="preserve"> </w:t>
            </w:r>
          </w:p>
        </w:tc>
        <w:tc>
          <w:tcPr>
            <w:tcW w:w="2126"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姓名</w:t>
            </w:r>
          </w:p>
        </w:tc>
        <w:tc>
          <w:tcPr>
            <w:tcW w:w="2127" w:type="dxa"/>
            <w:gridSpan w:val="4"/>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c>
          <w:tcPr>
            <w:tcW w:w="1559"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性别</w:t>
            </w:r>
          </w:p>
        </w:tc>
        <w:tc>
          <w:tcPr>
            <w:tcW w:w="1984"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126"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学历</w:t>
            </w:r>
          </w:p>
        </w:tc>
        <w:tc>
          <w:tcPr>
            <w:tcW w:w="2127" w:type="dxa"/>
            <w:gridSpan w:val="4"/>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c>
          <w:tcPr>
            <w:tcW w:w="1559"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身份证号</w:t>
            </w:r>
          </w:p>
        </w:tc>
        <w:tc>
          <w:tcPr>
            <w:tcW w:w="1984"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126"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hint="eastAsia" w:ascii="宋体" w:hAnsi="宋体"/>
                <w:szCs w:val="28"/>
              </w:rPr>
              <w:t>联系</w:t>
            </w:r>
            <w:r>
              <w:rPr>
                <w:rFonts w:ascii="宋体" w:hAnsi="宋体"/>
                <w:szCs w:val="28"/>
              </w:rPr>
              <w:t>电话</w:t>
            </w:r>
          </w:p>
        </w:tc>
        <w:tc>
          <w:tcPr>
            <w:tcW w:w="2127" w:type="dxa"/>
            <w:gridSpan w:val="4"/>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c>
          <w:tcPr>
            <w:tcW w:w="1559"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技术职称</w:t>
            </w:r>
          </w:p>
        </w:tc>
        <w:tc>
          <w:tcPr>
            <w:tcW w:w="1984"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126"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工作单位</w:t>
            </w:r>
          </w:p>
        </w:tc>
        <w:tc>
          <w:tcPr>
            <w:tcW w:w="5670" w:type="dxa"/>
            <w:gridSpan w:val="6"/>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126"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hint="eastAsia" w:ascii="宋体" w:hAnsi="宋体"/>
                <w:szCs w:val="28"/>
              </w:rPr>
              <w:t>职务</w:t>
            </w:r>
          </w:p>
        </w:tc>
        <w:tc>
          <w:tcPr>
            <w:tcW w:w="5670" w:type="dxa"/>
            <w:gridSpan w:val="6"/>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nil"/>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2126" w:type="dxa"/>
            <w:tcBorders>
              <w:top w:val="single" w:color="auto" w:sz="4" w:space="0"/>
              <w:left w:val="single" w:color="auto" w:sz="4" w:space="0"/>
              <w:bottom w:val="single" w:color="auto" w:sz="4" w:space="0"/>
              <w:right w:val="single" w:color="auto" w:sz="4" w:space="0"/>
            </w:tcBorders>
          </w:tcPr>
          <w:p>
            <w:pPr>
              <w:ind w:firstLine="0" w:firstLineChars="0"/>
              <w:jc w:val="center"/>
              <w:rPr>
                <w:szCs w:val="28"/>
                <w:highlight w:val="yellow"/>
              </w:rPr>
            </w:pPr>
            <w:r>
              <w:rPr>
                <w:rFonts w:ascii="宋体" w:hAnsi="宋体"/>
                <w:szCs w:val="28"/>
              </w:rPr>
              <w:t>单位地址</w:t>
            </w:r>
          </w:p>
        </w:tc>
        <w:tc>
          <w:tcPr>
            <w:tcW w:w="5670" w:type="dxa"/>
            <w:gridSpan w:val="6"/>
            <w:tcBorders>
              <w:top w:val="single" w:color="auto" w:sz="4" w:space="0"/>
              <w:left w:val="single" w:color="auto" w:sz="4" w:space="0"/>
              <w:bottom w:val="single" w:color="auto" w:sz="4" w:space="0"/>
              <w:right w:val="single" w:color="auto" w:sz="4" w:space="0"/>
            </w:tcBorders>
          </w:tcPr>
          <w:p>
            <w:pPr>
              <w:ind w:firstLine="0" w:firstLineChars="0"/>
              <w:jc w:val="center"/>
              <w:rPr>
                <w:szCs w:val="28"/>
                <w:highlight w:val="yellow"/>
              </w:rPr>
            </w:pPr>
            <w:r>
              <w:rPr>
                <w:szCs w:val="28"/>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0" w:type="auto"/>
            <w:vMerge w:val="continue"/>
            <w:tcBorders>
              <w:top w:val="nil"/>
              <w:left w:val="single" w:color="auto" w:sz="4" w:space="0"/>
              <w:bottom w:val="single" w:color="auto" w:sz="4" w:space="0"/>
              <w:right w:val="single" w:color="auto" w:sz="4" w:space="0"/>
            </w:tcBorders>
            <w:vAlign w:val="center"/>
          </w:tcPr>
          <w:p>
            <w:pPr>
              <w:widowControl/>
              <w:ind w:firstLine="0" w:firstLineChars="0"/>
              <w:jc w:val="left"/>
              <w:rPr>
                <w:rFonts w:ascii="Calibri" w:hAnsi="Calibri" w:cs="Calibri"/>
                <w:szCs w:val="28"/>
              </w:rPr>
            </w:pPr>
          </w:p>
        </w:tc>
        <w:tc>
          <w:tcPr>
            <w:tcW w:w="3898" w:type="dxa"/>
            <w:gridSpan w:val="3"/>
            <w:tcBorders>
              <w:top w:val="single" w:color="auto" w:sz="4" w:space="0"/>
              <w:left w:val="single" w:color="auto" w:sz="4" w:space="0"/>
              <w:bottom w:val="single" w:color="auto" w:sz="4" w:space="0"/>
              <w:right w:val="single" w:color="auto" w:sz="4" w:space="0"/>
            </w:tcBorders>
            <w:vAlign w:val="center"/>
          </w:tcPr>
          <w:p>
            <w:pPr>
              <w:ind w:firstLine="0" w:firstLineChars="0"/>
              <w:rPr>
                <w:szCs w:val="28"/>
              </w:rPr>
            </w:pPr>
            <w:r>
              <w:rPr>
                <w:rFonts w:hint="eastAsia" w:ascii="宋体" w:hAnsi="宋体"/>
                <w:szCs w:val="28"/>
              </w:rPr>
              <w:t>自然人信息员</w:t>
            </w:r>
          </w:p>
          <w:p>
            <w:pPr>
              <w:ind w:firstLine="0" w:firstLineChars="0"/>
              <w:rPr>
                <w:szCs w:val="28"/>
              </w:rPr>
            </w:pPr>
            <w:r>
              <w:rPr>
                <w:rFonts w:hint="eastAsia" w:ascii="宋体" w:hAnsi="宋体"/>
                <w:szCs w:val="28"/>
              </w:rPr>
              <w:t>（单位公章）：</w:t>
            </w:r>
          </w:p>
        </w:tc>
        <w:tc>
          <w:tcPr>
            <w:tcW w:w="3898" w:type="dxa"/>
            <w:gridSpan w:val="4"/>
            <w:tcBorders>
              <w:top w:val="single" w:color="auto" w:sz="4" w:space="0"/>
              <w:left w:val="single" w:color="auto" w:sz="4" w:space="0"/>
              <w:bottom w:val="single" w:color="auto" w:sz="4" w:space="0"/>
              <w:right w:val="single" w:color="auto" w:sz="4" w:space="0"/>
            </w:tcBorders>
            <w:vAlign w:val="center"/>
          </w:tcPr>
          <w:p>
            <w:pPr>
              <w:ind w:firstLine="0" w:firstLineChars="0"/>
              <w:rPr>
                <w:szCs w:val="28"/>
              </w:rPr>
            </w:pPr>
            <w:r>
              <w:rPr>
                <w:rFonts w:hint="eastAsia" w:ascii="宋体" w:hAnsi="宋体"/>
                <w:szCs w:val="28"/>
              </w:rPr>
              <w:t>自然人信息员</w:t>
            </w:r>
          </w:p>
          <w:p>
            <w:pPr>
              <w:ind w:firstLine="0" w:firstLineChars="0"/>
              <w:rPr>
                <w:szCs w:val="28"/>
              </w:rPr>
            </w:pPr>
            <w:r>
              <w:rPr>
                <w:rFonts w:hint="eastAsia" w:ascii="宋体" w:hAnsi="宋体"/>
                <w:szCs w:val="28"/>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3" w:type="dxa"/>
            <w:gridSpan w:val="8"/>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hint="eastAsia" w:ascii="宋体" w:hAnsi="宋体"/>
                <w:szCs w:val="28"/>
              </w:rPr>
              <w:t>建设工程价格信息员申报</w:t>
            </w:r>
            <w:r>
              <w:rPr>
                <w:rFonts w:ascii="宋体" w:hAnsi="宋体"/>
                <w:szCs w:val="28"/>
              </w:rPr>
              <w:t>专业</w:t>
            </w:r>
            <w:r>
              <w:rPr>
                <w:rFonts w:hint="eastAsia" w:ascii="宋体" w:hAnsi="宋体"/>
                <w:szCs w:val="28"/>
              </w:rPr>
              <w:t>（请在对应框内打√）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3" w:type="dxa"/>
            <w:gridSpan w:val="8"/>
            <w:tcBorders>
              <w:top w:val="single" w:color="auto" w:sz="4" w:space="0"/>
              <w:left w:val="single" w:color="auto" w:sz="4" w:space="0"/>
              <w:bottom w:val="single" w:color="auto" w:sz="4" w:space="0"/>
              <w:right w:val="single" w:color="auto" w:sz="4" w:space="0"/>
            </w:tcBorders>
          </w:tcPr>
          <w:p>
            <w:pPr>
              <w:ind w:firstLine="0" w:firstLineChars="0"/>
              <w:jc w:val="center"/>
              <w:rPr>
                <w:szCs w:val="28"/>
              </w:rPr>
            </w:pPr>
            <w:r>
              <w:rPr>
                <w:rFonts w:ascii="宋体" w:hAnsi="宋体"/>
                <w:szCs w:val="28"/>
              </w:rPr>
              <w:t>土建</w:t>
            </w:r>
            <w:r>
              <w:rPr>
                <w:rFonts w:hint="eastAsia" w:ascii="宋体" w:hAnsi="宋体"/>
                <w:szCs w:val="28"/>
              </w:rPr>
              <w:t>□ 安装□ 市政□ 装饰□ 仿古建筑□ 园林苗木□ 人工□</w:t>
            </w:r>
          </w:p>
        </w:tc>
      </w:tr>
    </w:tbl>
    <w:p>
      <w:pPr>
        <w:ind w:firstLine="480"/>
        <w:rPr>
          <w:rFonts w:ascii="宋体" w:hAnsi="宋体"/>
          <w:sz w:val="24"/>
        </w:rPr>
      </w:pPr>
      <w:r>
        <w:rPr>
          <w:rFonts w:ascii="宋体" w:hAnsi="宋体"/>
          <w:sz w:val="24"/>
        </w:rPr>
        <w:t>填表说明</w:t>
      </w:r>
      <w:r>
        <w:rPr>
          <w:rFonts w:hint="eastAsia" w:ascii="宋体" w:hAnsi="宋体"/>
          <w:sz w:val="24"/>
        </w:rPr>
        <w:t>：</w:t>
      </w:r>
      <w:r>
        <w:rPr>
          <w:rFonts w:hint="eastAsia"/>
          <w:sz w:val="24"/>
        </w:rPr>
        <w:t>1</w:t>
      </w:r>
      <w:r>
        <w:rPr>
          <w:rFonts w:hint="eastAsia" w:ascii="宋体" w:hAnsi="宋体"/>
          <w:sz w:val="24"/>
        </w:rPr>
        <w:t>、建设工程价格信息员申报</w:t>
      </w:r>
      <w:r>
        <w:rPr>
          <w:rFonts w:ascii="宋体" w:hAnsi="宋体"/>
          <w:sz w:val="24"/>
        </w:rPr>
        <w:t>专业选择</w:t>
      </w:r>
      <w:r>
        <w:rPr>
          <w:rFonts w:hint="eastAsia" w:ascii="宋体" w:hAnsi="宋体"/>
          <w:sz w:val="24"/>
        </w:rPr>
        <w:t>：法人信息员可单选或多选，自然人信息员为单选 ；</w:t>
      </w:r>
      <w:r>
        <w:rPr>
          <w:rFonts w:hint="eastAsia"/>
          <w:sz w:val="24"/>
        </w:rPr>
        <w:t>2</w:t>
      </w:r>
      <w:r>
        <w:rPr>
          <w:rFonts w:hint="eastAsia" w:ascii="宋体" w:hAnsi="宋体"/>
          <w:sz w:val="24"/>
        </w:rPr>
        <w:t>、业务联系人须为从事建设工程价格信息专业人员。</w:t>
      </w:r>
    </w:p>
    <w:p>
      <w:pPr>
        <w:widowControl/>
        <w:spacing w:before="100" w:beforeAutospacing="1" w:after="100" w:afterAutospacing="1" w:line="420" w:lineRule="atLeast"/>
        <w:ind w:firstLine="480"/>
        <w:jc w:val="center"/>
        <w:outlineLvl w:val="0"/>
        <w:rPr>
          <w:rStyle w:val="29"/>
        </w:rPr>
      </w:pPr>
      <w:r>
        <w:rPr>
          <w:rFonts w:ascii="宋体" w:hAnsi="宋体"/>
          <w:sz w:val="24"/>
        </w:rPr>
        <w:br w:type="page"/>
      </w:r>
      <w:bookmarkStart w:id="2324" w:name="_Toc31958"/>
      <w:bookmarkStart w:id="2325" w:name="_Toc16103"/>
      <w:bookmarkStart w:id="2326" w:name="_Toc1119"/>
      <w:bookmarkStart w:id="2327" w:name="_Toc8975"/>
      <w:bookmarkStart w:id="2328" w:name="_Toc31668"/>
      <w:bookmarkStart w:id="2329" w:name="_Toc30034"/>
      <w:bookmarkStart w:id="2330" w:name="_Toc29585"/>
      <w:bookmarkStart w:id="2331" w:name="_Toc12432"/>
      <w:bookmarkStart w:id="2332" w:name="_Toc18270"/>
      <w:bookmarkStart w:id="2333" w:name="_Toc13213"/>
      <w:bookmarkStart w:id="2334" w:name="_Toc4070"/>
      <w:bookmarkStart w:id="2335" w:name="_Toc17943"/>
      <w:bookmarkStart w:id="2336" w:name="_Toc7675"/>
      <w:r>
        <w:rPr>
          <w:rStyle w:val="29"/>
          <w:rFonts w:hint="eastAsia"/>
        </w:rPr>
        <w:t>苏州市工程造价管理处</w:t>
      </w:r>
      <w:bookmarkEnd w:id="2324"/>
      <w:bookmarkEnd w:id="2325"/>
      <w:bookmarkEnd w:id="2326"/>
      <w:bookmarkEnd w:id="2327"/>
      <w:bookmarkEnd w:id="2328"/>
      <w:bookmarkEnd w:id="2329"/>
      <w:bookmarkEnd w:id="2330"/>
      <w:bookmarkEnd w:id="2331"/>
      <w:bookmarkEnd w:id="2332"/>
      <w:bookmarkEnd w:id="2333"/>
      <w:bookmarkEnd w:id="2334"/>
      <w:bookmarkEnd w:id="2335"/>
      <w:bookmarkEnd w:id="2336"/>
    </w:p>
    <w:p>
      <w:pPr>
        <w:pStyle w:val="4"/>
      </w:pPr>
      <w:bookmarkStart w:id="2337" w:name="_Toc14542"/>
      <w:bookmarkStart w:id="2338" w:name="_Toc26634"/>
      <w:bookmarkStart w:id="2339" w:name="_Toc21227"/>
      <w:bookmarkStart w:id="2340" w:name="_Toc30558"/>
      <w:bookmarkStart w:id="2341" w:name="_Toc13868"/>
      <w:bookmarkStart w:id="2342" w:name="_Toc24188"/>
      <w:bookmarkStart w:id="2343" w:name="_Toc13755"/>
      <w:bookmarkStart w:id="2344" w:name="_Toc9084"/>
      <w:bookmarkStart w:id="2345" w:name="_Toc11843"/>
      <w:bookmarkStart w:id="2346" w:name="_Toc27191"/>
      <w:bookmarkStart w:id="2347" w:name="_Toc19870"/>
      <w:r>
        <w:rPr>
          <w:rFonts w:hint="eastAsia"/>
        </w:rPr>
        <w:t>苏工价〔2019〕2号</w:t>
      </w:r>
      <w:bookmarkEnd w:id="2337"/>
      <w:bookmarkEnd w:id="2338"/>
      <w:bookmarkEnd w:id="2339"/>
      <w:bookmarkEnd w:id="2340"/>
      <w:bookmarkEnd w:id="2341"/>
      <w:bookmarkEnd w:id="2342"/>
      <w:bookmarkEnd w:id="2343"/>
      <w:bookmarkEnd w:id="2344"/>
      <w:bookmarkEnd w:id="2345"/>
      <w:bookmarkEnd w:id="2346"/>
      <w:bookmarkEnd w:id="2347"/>
    </w:p>
    <w:p>
      <w:pPr>
        <w:ind w:firstLine="560"/>
      </w:pPr>
    </w:p>
    <w:p>
      <w:pPr>
        <w:pStyle w:val="3"/>
      </w:pPr>
      <w:bookmarkStart w:id="2348" w:name="_Toc25075"/>
      <w:bookmarkStart w:id="2349" w:name="_Toc27277"/>
      <w:bookmarkStart w:id="2350" w:name="_Toc17809"/>
      <w:bookmarkStart w:id="2351" w:name="_Toc12069"/>
      <w:bookmarkStart w:id="2352" w:name="_Toc24420"/>
      <w:bookmarkStart w:id="2353" w:name="_Toc1668"/>
      <w:bookmarkStart w:id="2354" w:name="_Toc31003"/>
      <w:bookmarkStart w:id="2355" w:name="_Toc30768"/>
      <w:bookmarkStart w:id="2356" w:name="_Toc18965"/>
      <w:bookmarkStart w:id="2357" w:name="_Toc7588"/>
      <w:bookmarkStart w:id="2358" w:name="_Toc30272"/>
      <w:bookmarkStart w:id="2359" w:name="_Toc31231"/>
      <w:bookmarkStart w:id="2360" w:name="_Toc12360"/>
      <w:bookmarkStart w:id="2361" w:name="_Toc11910"/>
      <w:r>
        <w:rPr>
          <w:rFonts w:hint="eastAsia"/>
        </w:rPr>
        <w:t>关于开展我市造价师“挂证”等违法违规行为自查自纠的通知</w:t>
      </w:r>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p>
    <w:p>
      <w:pPr>
        <w:pStyle w:val="20"/>
        <w:spacing w:before="0" w:beforeAutospacing="0" w:after="0" w:afterAutospacing="0"/>
        <w:ind w:firstLine="560"/>
        <w:textAlignment w:val="center"/>
        <w:rPr>
          <w:color w:val="000000"/>
          <w:sz w:val="28"/>
          <w:szCs w:val="28"/>
        </w:rPr>
      </w:pPr>
    </w:p>
    <w:p>
      <w:pPr>
        <w:ind w:firstLine="0" w:firstLineChars="0"/>
      </w:pPr>
      <w:r>
        <w:rPr>
          <w:rFonts w:hint="eastAsia"/>
        </w:rPr>
        <w:t>各市（区）造价管理部门及相关企业：</w:t>
      </w:r>
    </w:p>
    <w:p>
      <w:pPr>
        <w:ind w:firstLine="560"/>
      </w:pPr>
      <w:r>
        <w:rPr>
          <w:rFonts w:hint="eastAsia"/>
        </w:rPr>
        <w:t>为切实贯彻苏建建管〔2019〕2 号文件要求，进一步强化工程造价领域专业技术人员职业资格“挂证”专项治理，切实维护建筑业市场健康发展，根据《住房城乡建设部办公厅等关于开展工程建设领域专业技术人员职业资格“挂证”等违法违规行为专项整治的通知》（建办市〔2018〕57号）等文件精神，现就专项治理自查自纠工作有关要求通知如下：</w:t>
      </w:r>
    </w:p>
    <w:p>
      <w:pPr>
        <w:ind w:firstLine="562"/>
        <w:outlineLvl w:val="1"/>
        <w:rPr>
          <w:b/>
          <w:bCs/>
        </w:rPr>
      </w:pPr>
      <w:bookmarkStart w:id="2362" w:name="_Toc20443"/>
      <w:bookmarkStart w:id="2363" w:name="_Toc23766"/>
      <w:bookmarkStart w:id="2364" w:name="_Toc13839"/>
      <w:bookmarkStart w:id="2365" w:name="_Toc7048"/>
      <w:bookmarkStart w:id="2366" w:name="_Toc31947"/>
      <w:bookmarkStart w:id="2367" w:name="_Toc28824"/>
      <w:bookmarkStart w:id="2368" w:name="_Toc26712"/>
      <w:bookmarkStart w:id="2369" w:name="_Toc20964"/>
      <w:bookmarkStart w:id="2370" w:name="_Toc15504"/>
      <w:bookmarkStart w:id="2371" w:name="_Toc11663"/>
      <w:r>
        <w:rPr>
          <w:rFonts w:hint="eastAsia"/>
          <w:b/>
          <w:bCs/>
        </w:rPr>
        <w:t>一、自查自纠内容</w:t>
      </w:r>
      <w:bookmarkEnd w:id="2362"/>
      <w:bookmarkEnd w:id="2363"/>
      <w:bookmarkEnd w:id="2364"/>
      <w:bookmarkEnd w:id="2365"/>
      <w:bookmarkEnd w:id="2366"/>
      <w:bookmarkEnd w:id="2367"/>
      <w:bookmarkEnd w:id="2368"/>
      <w:bookmarkEnd w:id="2369"/>
      <w:bookmarkEnd w:id="2370"/>
      <w:bookmarkEnd w:id="2371"/>
    </w:p>
    <w:p>
      <w:pPr>
        <w:ind w:firstLine="560"/>
      </w:pPr>
      <w:r>
        <w:rPr>
          <w:rFonts w:hint="eastAsia"/>
        </w:rPr>
        <w:t>1. 按照省住建厅等机构《关于转发&lt;住房城乡建设部办公厅等关于开展工程建设领域专业技术人员职业资格“挂证”等违法违规行为专项整治的通知&gt;的通知》精神，检查是否组织学习宣传、是否制定贯彻落实方案、是否研究和解决相关问题等。</w:t>
      </w:r>
    </w:p>
    <w:p>
      <w:pPr>
        <w:ind w:firstLine="560"/>
      </w:pPr>
      <w:r>
        <w:rPr>
          <w:rFonts w:hint="eastAsia"/>
        </w:rPr>
        <w:t xml:space="preserve">2. 相关企业对在职在册的造价工程师注册情况是否及时做好登记、清查、整改，是否覆盖面达到100%。 </w:t>
      </w:r>
    </w:p>
    <w:p>
      <w:pPr>
        <w:ind w:firstLine="560"/>
      </w:pPr>
      <w:r>
        <w:rPr>
          <w:rFonts w:hint="eastAsia"/>
        </w:rPr>
        <w:t>3. 按照上级相关文件要求，检查是否存在“挂证”等违法违规行为，存在“挂证”行为的用人单位和个人，应在2019年1月底前，及时办理变更或注销手续。</w:t>
      </w:r>
    </w:p>
    <w:p>
      <w:pPr>
        <w:ind w:firstLine="562"/>
        <w:outlineLvl w:val="1"/>
        <w:rPr>
          <w:b/>
          <w:bCs/>
        </w:rPr>
      </w:pPr>
      <w:bookmarkStart w:id="2372" w:name="_Toc19230"/>
      <w:bookmarkStart w:id="2373" w:name="_Toc2397"/>
      <w:bookmarkStart w:id="2374" w:name="_Toc28818"/>
      <w:bookmarkStart w:id="2375" w:name="_Toc2690"/>
      <w:bookmarkStart w:id="2376" w:name="_Toc31309"/>
      <w:bookmarkStart w:id="2377" w:name="_Toc19548"/>
      <w:bookmarkStart w:id="2378" w:name="_Toc32578"/>
      <w:bookmarkStart w:id="2379" w:name="_Toc8323"/>
      <w:bookmarkStart w:id="2380" w:name="_Toc31713"/>
      <w:bookmarkStart w:id="2381" w:name="_Toc10058"/>
      <w:r>
        <w:rPr>
          <w:rFonts w:hint="eastAsia"/>
          <w:b/>
          <w:bCs/>
        </w:rPr>
        <w:t>二、自查自纠要求</w:t>
      </w:r>
      <w:bookmarkEnd w:id="2372"/>
      <w:bookmarkEnd w:id="2373"/>
      <w:bookmarkEnd w:id="2374"/>
      <w:bookmarkEnd w:id="2375"/>
      <w:bookmarkEnd w:id="2376"/>
      <w:bookmarkEnd w:id="2377"/>
      <w:bookmarkEnd w:id="2378"/>
      <w:bookmarkEnd w:id="2379"/>
      <w:bookmarkEnd w:id="2380"/>
      <w:bookmarkEnd w:id="2381"/>
    </w:p>
    <w:p>
      <w:pPr>
        <w:ind w:firstLine="560"/>
      </w:pPr>
      <w:r>
        <w:rPr>
          <w:rFonts w:hint="eastAsia"/>
        </w:rPr>
        <w:t>1. 认真学习文件。开展造价领域专业技术人员职业资格“挂证”等违法违规行为专项整治活动是贯彻落实上级有关政策精神的重要工作，是2019年我市造价行业的工作重点，各市（区）行业管理部门责无旁贷。各相关企业认真落实上级有关文件精神，切实加强相关管理，并安排专门人员做好自查自纠工作，自查自纠工作完成情况将作为各单位信用评价的重要依据。</w:t>
      </w:r>
    </w:p>
    <w:p>
      <w:pPr>
        <w:ind w:firstLine="560"/>
      </w:pPr>
      <w:r>
        <w:rPr>
          <w:rFonts w:hint="eastAsia"/>
        </w:rPr>
        <w:t>2. 积极开展自查。各市（区）造价管理部门、工程造价咨询企业要认真开展自查自纠工作，未落实的工作要抓紧落实，未处理的问题要抓紧处理，未完善的资料要抓紧完善，确保自查自纠无遗漏,不得敷衍塞责、弄虚作假。自查自纠工作必须在2019年1月底全面完成，本市造价咨询企业须在2月15日前将自查自纠资料纸质稿（见附见）报送到市造价处303室(地址：苏州市十全街933号)，电子版同时发373588291@qq.com。</w:t>
      </w:r>
    </w:p>
    <w:p>
      <w:pPr>
        <w:ind w:firstLine="560"/>
      </w:pPr>
      <w:r>
        <w:rPr>
          <w:rFonts w:hint="eastAsia"/>
        </w:rPr>
        <w:t>3. 全面加强管理。各市（区）造价管理部门和工程造价咨询企业要以自查自纠工作为契机，切实抓好政策法规的学习宣传和贯彻落实。加强违纪违规行为的查处力度，发现一起，查处一起。对未按要求开展自查自纠工作的单位和个人，严格追责，作为不良行为记入其信用档案，并向社会公布。</w:t>
      </w:r>
    </w:p>
    <w:p>
      <w:pPr>
        <w:ind w:firstLine="560"/>
      </w:pPr>
      <w:r>
        <w:rPr>
          <w:rFonts w:hint="eastAsia"/>
        </w:rPr>
        <w:t xml:space="preserve"> </w:t>
      </w:r>
    </w:p>
    <w:p>
      <w:pPr>
        <w:ind w:firstLine="560"/>
      </w:pPr>
      <w:r>
        <w:rPr>
          <w:rFonts w:hint="eastAsia"/>
        </w:rPr>
        <w:t>附件：苏州市工程造价咨询企业在册造价师自查情况汇总表</w:t>
      </w:r>
    </w:p>
    <w:p>
      <w:pPr>
        <w:ind w:firstLine="560"/>
      </w:pPr>
      <w:r>
        <w:rPr>
          <w:rFonts w:hint="eastAsia"/>
        </w:rPr>
        <w:t xml:space="preserve"> </w:t>
      </w:r>
    </w:p>
    <w:p>
      <w:pPr>
        <w:ind w:firstLine="560"/>
      </w:pPr>
      <w:r>
        <w:rPr>
          <w:rFonts w:hint="eastAsia"/>
        </w:rPr>
        <w:t xml:space="preserve"> </w:t>
      </w:r>
    </w:p>
    <w:p>
      <w:pPr>
        <w:ind w:firstLine="4928" w:firstLineChars="1760"/>
      </w:pPr>
      <w:r>
        <w:rPr>
          <w:rFonts w:hint="eastAsia"/>
        </w:rPr>
        <w:t>苏州市工程造价管理处</w:t>
      </w:r>
    </w:p>
    <w:p>
      <w:pPr>
        <w:ind w:firstLine="5656" w:firstLineChars="2020"/>
      </w:pPr>
      <w:r>
        <w:rPr>
          <w:rFonts w:hint="eastAsia"/>
        </w:rPr>
        <w:t>2019-1-11</w:t>
      </w:r>
    </w:p>
    <w:p>
      <w:pPr>
        <w:ind w:firstLine="560"/>
        <w:jc w:val="center"/>
        <w:rPr>
          <w:b/>
          <w:sz w:val="36"/>
          <w:szCs w:val="36"/>
        </w:rPr>
      </w:pPr>
      <w:r>
        <w:rPr>
          <w:rFonts w:ascii="宋体" w:hAnsi="宋体"/>
          <w:szCs w:val="28"/>
        </w:rPr>
        <w:br w:type="page"/>
      </w:r>
      <w:r>
        <w:rPr>
          <w:rFonts w:hint="eastAsia"/>
          <w:b/>
          <w:sz w:val="36"/>
          <w:szCs w:val="36"/>
        </w:rPr>
        <w:t>苏州市工程造价咨询企业在册造价师自查情况汇总表</w:t>
      </w:r>
    </w:p>
    <w:tbl>
      <w:tblPr>
        <w:tblStyle w:val="22"/>
        <w:tblW w:w="53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968"/>
        <w:gridCol w:w="1555"/>
        <w:gridCol w:w="1816"/>
        <w:gridCol w:w="1504"/>
        <w:gridCol w:w="6"/>
        <w:gridCol w:w="3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58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自查单位</w:t>
            </w:r>
          </w:p>
        </w:tc>
        <w:tc>
          <w:tcPr>
            <w:tcW w:w="8147" w:type="dxa"/>
            <w:gridSpan w:val="5"/>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58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资质等级</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资质证书编号</w:t>
            </w:r>
          </w:p>
        </w:tc>
        <w:tc>
          <w:tcPr>
            <w:tcW w:w="4775" w:type="dxa"/>
            <w:gridSpan w:val="3"/>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rPr>
                <w:sz w:val="24"/>
              </w:rPr>
            </w:pPr>
            <w:r>
              <w:rPr>
                <w:rFonts w:hint="eastAsia"/>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58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资质证书</w:t>
            </w:r>
          </w:p>
          <w:p>
            <w:pPr>
              <w:spacing w:line="400" w:lineRule="exact"/>
              <w:ind w:firstLine="0" w:firstLineChars="0"/>
              <w:jc w:val="center"/>
              <w:rPr>
                <w:sz w:val="24"/>
              </w:rPr>
            </w:pPr>
            <w:r>
              <w:rPr>
                <w:rFonts w:hint="eastAsia"/>
                <w:sz w:val="24"/>
              </w:rPr>
              <w:t>起止日期</w:t>
            </w:r>
          </w:p>
        </w:tc>
        <w:tc>
          <w:tcPr>
            <w:tcW w:w="8147" w:type="dxa"/>
            <w:gridSpan w:val="5"/>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158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填表人</w:t>
            </w:r>
          </w:p>
        </w:tc>
        <w:tc>
          <w:tcPr>
            <w:tcW w:w="3372"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1504"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联系电话</w:t>
            </w:r>
          </w:p>
        </w:tc>
        <w:tc>
          <w:tcPr>
            <w:tcW w:w="327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8" w:hRule="atLeast"/>
          <w:jc w:val="center"/>
        </w:trPr>
        <w:tc>
          <w:tcPr>
            <w:tcW w:w="158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专职专业</w:t>
            </w:r>
          </w:p>
          <w:p>
            <w:pPr>
              <w:spacing w:line="400" w:lineRule="exact"/>
              <w:ind w:firstLine="0" w:firstLineChars="0"/>
              <w:jc w:val="center"/>
              <w:rPr>
                <w:sz w:val="24"/>
              </w:rPr>
            </w:pPr>
            <w:r>
              <w:rPr>
                <w:rFonts w:hint="eastAsia"/>
                <w:sz w:val="24"/>
              </w:rPr>
              <w:t>人员总数</w:t>
            </w:r>
          </w:p>
        </w:tc>
        <w:tc>
          <w:tcPr>
            <w:tcW w:w="3372"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1504"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造价师</w:t>
            </w:r>
          </w:p>
          <w:p>
            <w:pPr>
              <w:spacing w:line="400" w:lineRule="exact"/>
              <w:ind w:firstLine="0" w:firstLineChars="0"/>
              <w:jc w:val="center"/>
              <w:rPr>
                <w:sz w:val="24"/>
              </w:rPr>
            </w:pPr>
            <w:r>
              <w:rPr>
                <w:rFonts w:hint="eastAsia"/>
                <w:sz w:val="24"/>
              </w:rPr>
              <w:t>人员数</w:t>
            </w:r>
          </w:p>
        </w:tc>
        <w:tc>
          <w:tcPr>
            <w:tcW w:w="3271"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9728" w:type="dxa"/>
            <w:gridSpan w:val="7"/>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自查自纠清查内容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restart"/>
            <w:tcBorders>
              <w:top w:val="nil"/>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在册造价工程师一览表</w:t>
            </w: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left="-168" w:leftChars="-60" w:right="-140" w:rightChars="-50" w:firstLine="0" w:firstLineChars="0"/>
              <w:jc w:val="center"/>
              <w:rPr>
                <w:sz w:val="24"/>
              </w:rPr>
            </w:pPr>
            <w:r>
              <w:rPr>
                <w:rFonts w:hint="eastAsia"/>
                <w:sz w:val="24"/>
              </w:rPr>
              <w:t>序号</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姓名</w:t>
            </w: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注册证号</w:t>
            </w: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left="-168" w:leftChars="-60" w:right="-140" w:rightChars="-50" w:firstLine="0" w:firstLineChars="0"/>
              <w:jc w:val="center"/>
              <w:rPr>
                <w:sz w:val="24"/>
              </w:rPr>
            </w:pPr>
            <w:r>
              <w:rPr>
                <w:rFonts w:hint="eastAsia"/>
                <w:sz w:val="24"/>
              </w:rPr>
              <w:t>是否“挂证”</w:t>
            </w: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整改情况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left="-168" w:leftChars="-60" w:right="-140" w:rightChars="-50" w:firstLine="0" w:firstLineChars="0"/>
              <w:jc w:val="center"/>
              <w:rPr>
                <w:sz w:val="24"/>
              </w:rPr>
            </w:pPr>
            <w:r>
              <w:rPr>
                <w:rFonts w:hint="eastAsia"/>
                <w:sz w:val="24"/>
              </w:rPr>
              <w:t>1</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left="-168" w:leftChars="-60" w:right="-140" w:rightChars="-50"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2</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3</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4</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5</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6</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7</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16" w:type="dxa"/>
            <w:vMerge w:val="continue"/>
            <w:tcBorders>
              <w:top w:val="nil"/>
              <w:left w:val="single" w:color="auto" w:sz="4" w:space="0"/>
              <w:bottom w:val="single" w:color="auto" w:sz="4" w:space="0"/>
              <w:right w:val="single" w:color="auto" w:sz="4" w:space="0"/>
            </w:tcBorders>
            <w:vAlign w:val="center"/>
          </w:tcPr>
          <w:p>
            <w:pPr>
              <w:widowControl/>
              <w:spacing w:line="400" w:lineRule="exact"/>
              <w:ind w:firstLine="0" w:firstLineChars="0"/>
              <w:jc w:val="left"/>
              <w:rPr>
                <w:rFonts w:ascii="宋体" w:hAnsi="宋体"/>
                <w:sz w:val="24"/>
              </w:rPr>
            </w:pPr>
          </w:p>
        </w:tc>
        <w:tc>
          <w:tcPr>
            <w:tcW w:w="9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r>
              <w:rPr>
                <w:rFonts w:hint="eastAsia"/>
                <w:sz w:val="24"/>
              </w:rPr>
              <w:t>8</w:t>
            </w:r>
          </w:p>
        </w:tc>
        <w:tc>
          <w:tcPr>
            <w:tcW w:w="155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c>
          <w:tcPr>
            <w:tcW w:w="1817"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pPr>
          </w:p>
        </w:tc>
        <w:tc>
          <w:tcPr>
            <w:tcW w:w="1510"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 w:val="24"/>
              </w:rPr>
            </w:pPr>
          </w:p>
        </w:tc>
        <w:tc>
          <w:tcPr>
            <w:tcW w:w="326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0" w:firstLine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9" w:hRule="atLeast"/>
          <w:jc w:val="center"/>
        </w:trPr>
        <w:tc>
          <w:tcPr>
            <w:tcW w:w="9728" w:type="dxa"/>
            <w:gridSpan w:val="7"/>
            <w:tcBorders>
              <w:top w:val="single" w:color="auto" w:sz="4" w:space="0"/>
              <w:left w:val="single" w:color="auto" w:sz="4" w:space="0"/>
              <w:bottom w:val="single" w:color="auto" w:sz="4" w:space="0"/>
              <w:right w:val="single" w:color="auto" w:sz="4" w:space="0"/>
            </w:tcBorders>
            <w:vAlign w:val="center"/>
          </w:tcPr>
          <w:p>
            <w:pPr>
              <w:widowControl/>
              <w:spacing w:line="400" w:lineRule="exact"/>
              <w:ind w:firstLine="0" w:firstLineChars="0"/>
              <w:jc w:val="left"/>
              <w:rPr>
                <w:sz w:val="24"/>
              </w:rPr>
            </w:pPr>
          </w:p>
          <w:p>
            <w:pPr>
              <w:widowControl/>
              <w:spacing w:line="400" w:lineRule="exact"/>
              <w:ind w:firstLine="638" w:firstLineChars="266"/>
              <w:jc w:val="left"/>
              <w:rPr>
                <w:sz w:val="24"/>
              </w:rPr>
            </w:pPr>
            <w:r>
              <w:rPr>
                <w:rFonts w:hint="eastAsia"/>
                <w:sz w:val="24"/>
              </w:rPr>
              <w:t>郑重承诺：本人（姓名）</w:t>
            </w:r>
            <w:r>
              <w:rPr>
                <w:rFonts w:hint="eastAsia"/>
                <w:sz w:val="24"/>
                <w:u w:val="single"/>
              </w:rPr>
              <w:t xml:space="preserve">             </w:t>
            </w:r>
            <w:r>
              <w:rPr>
                <w:rFonts w:hint="eastAsia"/>
                <w:sz w:val="24"/>
              </w:rPr>
              <w:t>，身份证号</w:t>
            </w:r>
            <w:r>
              <w:rPr>
                <w:rFonts w:hint="eastAsia"/>
                <w:sz w:val="24"/>
                <w:u w:val="single"/>
              </w:rPr>
              <w:t xml:space="preserve">                        </w:t>
            </w:r>
            <w:r>
              <w:rPr>
                <w:rFonts w:hint="eastAsia"/>
                <w:sz w:val="24"/>
              </w:rPr>
              <w:t>，系（单位名称）</w:t>
            </w:r>
            <w:r>
              <w:rPr>
                <w:rFonts w:hint="eastAsia"/>
                <w:sz w:val="24"/>
                <w:u w:val="single"/>
              </w:rPr>
              <w:t xml:space="preserve">                                           </w:t>
            </w:r>
            <w:r>
              <w:rPr>
                <w:rFonts w:hint="eastAsia"/>
                <w:sz w:val="24"/>
              </w:rPr>
              <w:t xml:space="preserve">法定代表人，针对本企业在册造价师清查申报情况作出的承诺，如有虚假本企业愿接受我市建设行政主管部门给予的行政处罚。  </w:t>
            </w:r>
          </w:p>
          <w:p>
            <w:pPr>
              <w:widowControl/>
              <w:spacing w:line="400" w:lineRule="exact"/>
              <w:ind w:firstLine="0" w:firstLineChars="0"/>
              <w:jc w:val="left"/>
              <w:rPr>
                <w:sz w:val="24"/>
              </w:rPr>
            </w:pPr>
            <w:r>
              <w:rPr>
                <w:rFonts w:hint="eastAsia"/>
                <w:sz w:val="24"/>
              </w:rPr>
              <w:t xml:space="preserve">                                       法定代表人：（签字） </w:t>
            </w:r>
          </w:p>
          <w:p>
            <w:pPr>
              <w:widowControl/>
              <w:spacing w:line="400" w:lineRule="exact"/>
              <w:ind w:firstLine="0" w:firstLineChars="0"/>
              <w:jc w:val="left"/>
              <w:rPr>
                <w:sz w:val="24"/>
              </w:rPr>
            </w:pPr>
          </w:p>
          <w:p>
            <w:pPr>
              <w:widowControl/>
              <w:spacing w:line="400" w:lineRule="exact"/>
              <w:ind w:firstLine="0" w:firstLineChars="0"/>
              <w:jc w:val="left"/>
              <w:rPr>
                <w:sz w:val="24"/>
              </w:rPr>
            </w:pPr>
            <w:r>
              <w:rPr>
                <w:rFonts w:hint="eastAsia"/>
                <w:sz w:val="24"/>
              </w:rPr>
              <w:t xml:space="preserve"> 单位名称：（盖章） </w:t>
            </w:r>
          </w:p>
          <w:p>
            <w:pPr>
              <w:widowControl/>
              <w:spacing w:line="400" w:lineRule="exact"/>
              <w:ind w:firstLine="0" w:firstLineChars="0"/>
              <w:jc w:val="left"/>
              <w:rPr>
                <w:sz w:val="24"/>
              </w:rPr>
            </w:pPr>
            <w:r>
              <w:rPr>
                <w:rFonts w:hint="eastAsia"/>
                <w:sz w:val="24"/>
              </w:rPr>
              <w:t xml:space="preserve">                                               日    期：   年   月   日                                           </w:t>
            </w:r>
          </w:p>
        </w:tc>
      </w:tr>
    </w:tbl>
    <w:p>
      <w:pPr>
        <w:ind w:firstLine="560"/>
        <w:rPr>
          <w:rFonts w:cs="宋体"/>
          <w:szCs w:val="21"/>
        </w:rPr>
      </w:pPr>
      <w:r>
        <w:t xml:space="preserve"> </w:t>
      </w:r>
    </w:p>
    <w:p>
      <w:pPr>
        <w:pStyle w:val="20"/>
        <w:spacing w:before="0" w:beforeAutospacing="0" w:after="0" w:afterAutospacing="0"/>
        <w:ind w:firstLine="480"/>
        <w:jc w:val="center"/>
        <w:rPr>
          <w:b/>
          <w:bCs/>
          <w:color w:val="FF0000"/>
          <w:spacing w:val="16"/>
          <w:sz w:val="72"/>
          <w:szCs w:val="72"/>
        </w:rPr>
      </w:pPr>
      <w:r>
        <w:rPr>
          <w:szCs w:val="21"/>
        </w:rPr>
        <w:br w:type="page"/>
      </w:r>
    </w:p>
    <w:p>
      <w:pPr>
        <w:pStyle w:val="5"/>
      </w:pPr>
      <w:bookmarkStart w:id="2382" w:name="_Toc3662"/>
      <w:bookmarkStart w:id="2383" w:name="_Toc8715"/>
      <w:bookmarkStart w:id="2384" w:name="_Toc14037"/>
      <w:bookmarkStart w:id="2385" w:name="_Toc977"/>
      <w:bookmarkStart w:id="2386" w:name="_Toc18514"/>
      <w:bookmarkStart w:id="2387" w:name="_Toc15795"/>
      <w:bookmarkStart w:id="2388" w:name="_Toc9633"/>
      <w:r>
        <w:rPr>
          <w:rFonts w:hint="eastAsia"/>
        </w:rPr>
        <w:t>苏州市工程造价管理处</w:t>
      </w:r>
      <w:bookmarkEnd w:id="2382"/>
      <w:bookmarkEnd w:id="2383"/>
      <w:bookmarkEnd w:id="2384"/>
      <w:bookmarkEnd w:id="2385"/>
      <w:bookmarkEnd w:id="2386"/>
      <w:bookmarkEnd w:id="2387"/>
      <w:bookmarkEnd w:id="2388"/>
    </w:p>
    <w:p>
      <w:pPr>
        <w:pStyle w:val="20"/>
        <w:spacing w:before="0" w:beforeAutospacing="0" w:after="0" w:afterAutospacing="0"/>
        <w:ind w:firstLine="420"/>
        <w:jc w:val="center"/>
        <w:rPr>
          <w:color w:val="3D4B64"/>
          <w:sz w:val="21"/>
          <w:szCs w:val="21"/>
        </w:rPr>
      </w:pPr>
      <w:r>
        <w:rPr>
          <w:color w:val="3D4B64"/>
          <w:sz w:val="21"/>
          <w:szCs w:val="21"/>
        </w:rPr>
        <w:t xml:space="preserve"> </w:t>
      </w:r>
    </w:p>
    <w:p>
      <w:pPr>
        <w:pStyle w:val="4"/>
      </w:pPr>
      <w:bookmarkStart w:id="2389" w:name="_Toc25023"/>
      <w:bookmarkStart w:id="2390" w:name="_Toc10956"/>
      <w:bookmarkStart w:id="2391" w:name="_Toc28145"/>
      <w:bookmarkStart w:id="2392" w:name="_Toc3208"/>
      <w:bookmarkStart w:id="2393" w:name="_Toc23537"/>
      <w:bookmarkStart w:id="2394" w:name="_Toc9616"/>
      <w:bookmarkStart w:id="2395" w:name="_Toc10701"/>
      <w:bookmarkStart w:id="2396" w:name="_Toc3676"/>
      <w:bookmarkStart w:id="2397" w:name="_Toc16731"/>
      <w:bookmarkStart w:id="2398" w:name="_Toc27340"/>
      <w:bookmarkStart w:id="2399" w:name="_Toc27833"/>
      <w:r>
        <w:rPr>
          <w:rFonts w:hint="eastAsia"/>
        </w:rPr>
        <w:t>苏工价〔2019〕5号</w:t>
      </w:r>
      <w:bookmarkEnd w:id="2389"/>
      <w:bookmarkEnd w:id="2390"/>
      <w:bookmarkEnd w:id="2391"/>
      <w:bookmarkEnd w:id="2392"/>
      <w:bookmarkEnd w:id="2393"/>
      <w:bookmarkEnd w:id="2394"/>
      <w:bookmarkEnd w:id="2395"/>
      <w:bookmarkEnd w:id="2396"/>
      <w:bookmarkEnd w:id="2397"/>
      <w:bookmarkEnd w:id="2398"/>
      <w:bookmarkEnd w:id="2399"/>
    </w:p>
    <w:p>
      <w:pPr>
        <w:ind w:firstLine="560"/>
        <w:jc w:val="center"/>
        <w:rPr>
          <w:rFonts w:ascii="黑体" w:hAnsi="黑体" w:eastAsia="黑体"/>
          <w:szCs w:val="28"/>
        </w:rPr>
      </w:pPr>
      <w:r>
        <w:rPr>
          <w:rFonts w:hint="eastAsia" w:ascii="黑体" w:hAnsi="黑体" w:eastAsia="黑体"/>
          <w:szCs w:val="28"/>
        </w:rPr>
        <w:t xml:space="preserve"> </w:t>
      </w:r>
    </w:p>
    <w:p>
      <w:pPr>
        <w:pStyle w:val="3"/>
      </w:pPr>
      <w:bookmarkStart w:id="2400" w:name="_Toc13571"/>
      <w:bookmarkStart w:id="2401" w:name="_Toc26204"/>
      <w:bookmarkStart w:id="2402" w:name="_Toc15421"/>
      <w:bookmarkStart w:id="2403" w:name="_Toc6128"/>
      <w:bookmarkStart w:id="2404" w:name="_Toc13867"/>
      <w:bookmarkStart w:id="2405" w:name="_Toc29606"/>
      <w:bookmarkStart w:id="2406" w:name="_Toc3053"/>
      <w:bookmarkStart w:id="2407" w:name="_Toc11463"/>
      <w:bookmarkStart w:id="2408" w:name="_Toc3570"/>
      <w:bookmarkStart w:id="2409" w:name="_Toc29349"/>
      <w:bookmarkStart w:id="2410" w:name="_Toc24679"/>
      <w:bookmarkStart w:id="2411" w:name="_Toc24794"/>
      <w:bookmarkStart w:id="2412" w:name="_Toc26287"/>
      <w:bookmarkStart w:id="2413" w:name="_Toc4687"/>
      <w:r>
        <w:rPr>
          <w:rFonts w:hint="eastAsia"/>
        </w:rPr>
        <w:t>关于明确建设工程环境保护税计价问题的通知</w:t>
      </w:r>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p>
    <w:p>
      <w:pPr>
        <w:ind w:firstLine="560"/>
        <w:rPr>
          <w:rFonts w:ascii="宋体" w:hAnsi="宋体"/>
          <w:szCs w:val="28"/>
        </w:rPr>
      </w:pPr>
      <w:r>
        <w:rPr>
          <w:rFonts w:hint="eastAsia" w:ascii="宋体" w:hAnsi="宋体"/>
          <w:szCs w:val="28"/>
        </w:rPr>
        <w:t xml:space="preserve"> </w:t>
      </w:r>
    </w:p>
    <w:p>
      <w:pPr>
        <w:ind w:firstLine="0" w:firstLineChars="0"/>
      </w:pPr>
    </w:p>
    <w:p>
      <w:pPr>
        <w:ind w:firstLine="0" w:firstLineChars="0"/>
      </w:pPr>
      <w:r>
        <w:rPr>
          <w:rFonts w:hint="eastAsia"/>
        </w:rPr>
        <w:t>各建设、设计、施工、中介咨询机构，各有关单位：</w:t>
      </w:r>
    </w:p>
    <w:p>
      <w:pPr>
        <w:ind w:firstLine="560"/>
      </w:pPr>
      <w:r>
        <w:rPr>
          <w:rFonts w:hint="eastAsia"/>
        </w:rPr>
        <w:t>根据《国家税务总局江苏省税务局 江苏省生态环境厅关于部分行业环境保护税应纳税额计算方法的公告》（2018年第21号）规定，结合我市具体实际情况，现将建设工程“环境保护税”计价问题的有关事项明确如下：</w:t>
      </w:r>
    </w:p>
    <w:p>
      <w:pPr>
        <w:ind w:firstLine="560"/>
      </w:pPr>
      <w:r>
        <w:rPr>
          <w:rFonts w:hint="eastAsia"/>
        </w:rPr>
        <w:t>一、“环境保护税”由各类建设工程的建设方（含代建方）按照相关规定向税务机关缴纳，在承发包工程造价中不再计列。</w:t>
      </w:r>
    </w:p>
    <w:p>
      <w:pPr>
        <w:ind w:firstLine="560"/>
      </w:pPr>
      <w:r>
        <w:rPr>
          <w:rFonts w:hint="eastAsia"/>
        </w:rPr>
        <w:t>二、本文之规定，自发文之日起执行。在本文执行过程中，如遇上级有新规定，则按上级规定执行。</w:t>
      </w:r>
    </w:p>
    <w:p>
      <w:pPr>
        <w:ind w:firstLine="560"/>
      </w:pPr>
      <w:r>
        <w:rPr>
          <w:rFonts w:hint="eastAsia"/>
        </w:rPr>
        <w:t xml:space="preserve"> </w:t>
      </w:r>
    </w:p>
    <w:p>
      <w:pPr>
        <w:pStyle w:val="2"/>
        <w:numPr>
          <w:ilvl w:val="0"/>
          <w:numId w:val="0"/>
        </w:numPr>
        <w:ind w:left="420"/>
      </w:pPr>
    </w:p>
    <w:p>
      <w:pPr>
        <w:ind w:firstLine="4760" w:firstLineChars="1700"/>
      </w:pPr>
      <w:r>
        <w:rPr>
          <w:rFonts w:hint="eastAsia"/>
        </w:rPr>
        <w:t>苏州市工程造价管理处</w:t>
      </w:r>
    </w:p>
    <w:p>
      <w:pPr>
        <w:ind w:firstLine="560"/>
      </w:pPr>
      <w:r>
        <w:rPr>
          <w:rFonts w:hint="eastAsia"/>
        </w:rPr>
        <w:t xml:space="preserve">                               </w:t>
      </w:r>
      <w:r>
        <w:t xml:space="preserve">   </w:t>
      </w:r>
      <w:r>
        <w:rPr>
          <w:rFonts w:hint="eastAsia"/>
        </w:rPr>
        <w:t>2019年3月27日</w:t>
      </w:r>
    </w:p>
    <w:p>
      <w:pPr>
        <w:ind w:firstLine="560"/>
        <w:rPr>
          <w:rFonts w:ascii="仿宋" w:hAnsi="仿宋" w:eastAsia="仿宋"/>
          <w:szCs w:val="28"/>
        </w:rPr>
      </w:pPr>
      <w:r>
        <w:rPr>
          <w:rFonts w:hint="eastAsia" w:ascii="仿宋" w:hAnsi="仿宋" w:eastAsia="仿宋"/>
          <w:szCs w:val="28"/>
        </w:rPr>
        <w:t xml:space="preserve"> </w:t>
      </w:r>
    </w:p>
    <w:p>
      <w:pPr>
        <w:widowControl/>
        <w:ind w:firstLine="560"/>
        <w:rPr>
          <w:rFonts w:ascii="宋体" w:hAnsi="宋体" w:cs="宋体"/>
          <w:kern w:val="0"/>
          <w:sz w:val="36"/>
          <w:szCs w:val="36"/>
        </w:rPr>
      </w:pPr>
      <w:r>
        <w:rPr>
          <w:rFonts w:cs="宋体"/>
          <w:szCs w:val="21"/>
        </w:rPr>
        <w:br w:type="page"/>
      </w:r>
    </w:p>
    <w:p>
      <w:pPr>
        <w:pStyle w:val="5"/>
      </w:pPr>
      <w:bookmarkStart w:id="2414" w:name="_Toc26100"/>
      <w:bookmarkStart w:id="2415" w:name="_Toc10752"/>
      <w:bookmarkStart w:id="2416" w:name="_Toc9501"/>
      <w:bookmarkStart w:id="2417" w:name="_Toc27692"/>
      <w:bookmarkStart w:id="2418" w:name="_Toc16221"/>
      <w:bookmarkStart w:id="2419" w:name="_Toc7637"/>
      <w:bookmarkStart w:id="2420" w:name="_Toc21765"/>
      <w:r>
        <w:rPr>
          <w:rFonts w:hint="eastAsia"/>
        </w:rPr>
        <w:t>苏州市工程造价管理处</w:t>
      </w:r>
      <w:bookmarkEnd w:id="2414"/>
      <w:bookmarkEnd w:id="2415"/>
      <w:bookmarkEnd w:id="2416"/>
      <w:bookmarkEnd w:id="2417"/>
      <w:bookmarkEnd w:id="2418"/>
      <w:bookmarkEnd w:id="2419"/>
      <w:bookmarkEnd w:id="2420"/>
    </w:p>
    <w:p>
      <w:pPr>
        <w:widowControl/>
        <w:autoSpaceDE w:val="0"/>
        <w:ind w:firstLine="560"/>
        <w:jc w:val="center"/>
        <w:rPr>
          <w:rFonts w:ascii="宋体" w:hAnsi="宋体" w:cs="宋体"/>
          <w:color w:val="3D4B64"/>
          <w:kern w:val="0"/>
          <w:szCs w:val="21"/>
        </w:rPr>
      </w:pPr>
      <w:r>
        <w:rPr>
          <w:rFonts w:hint="eastAsia" w:ascii="宋体" w:hAnsi="宋体" w:cs="宋体"/>
          <w:color w:val="3D4B64"/>
          <w:kern w:val="0"/>
          <w:szCs w:val="21"/>
        </w:rPr>
        <w:t xml:space="preserve"> </w:t>
      </w:r>
    </w:p>
    <w:p>
      <w:pPr>
        <w:pStyle w:val="4"/>
      </w:pPr>
      <w:bookmarkStart w:id="2421" w:name="_Toc26295"/>
      <w:bookmarkStart w:id="2422" w:name="_Toc27249"/>
      <w:bookmarkStart w:id="2423" w:name="_Toc3028"/>
      <w:bookmarkStart w:id="2424" w:name="_Toc6553"/>
      <w:bookmarkStart w:id="2425" w:name="_Toc32564"/>
      <w:bookmarkStart w:id="2426" w:name="_Toc27107"/>
      <w:bookmarkStart w:id="2427" w:name="_Toc32125"/>
      <w:bookmarkStart w:id="2428" w:name="_Toc27365"/>
      <w:bookmarkStart w:id="2429" w:name="_Toc14379"/>
      <w:bookmarkStart w:id="2430" w:name="_Toc26450"/>
      <w:bookmarkStart w:id="2431" w:name="_Toc17173"/>
      <w:r>
        <w:rPr>
          <w:rFonts w:hint="eastAsia"/>
        </w:rPr>
        <w:t>苏工价〔2019〕6号</w:t>
      </w:r>
      <w:bookmarkEnd w:id="2421"/>
      <w:bookmarkEnd w:id="2422"/>
      <w:bookmarkEnd w:id="2423"/>
      <w:bookmarkEnd w:id="2424"/>
      <w:bookmarkEnd w:id="2425"/>
      <w:bookmarkEnd w:id="2426"/>
      <w:bookmarkEnd w:id="2427"/>
      <w:bookmarkEnd w:id="2428"/>
      <w:bookmarkEnd w:id="2429"/>
      <w:bookmarkEnd w:id="2430"/>
      <w:bookmarkEnd w:id="2431"/>
    </w:p>
    <w:p>
      <w:pPr>
        <w:widowControl/>
        <w:autoSpaceDE w:val="0"/>
        <w:ind w:firstLine="720"/>
        <w:jc w:val="left"/>
        <w:rPr>
          <w:rFonts w:ascii="宋体" w:hAnsi="宋体" w:cs="宋体"/>
          <w:kern w:val="0"/>
          <w:sz w:val="36"/>
          <w:szCs w:val="36"/>
        </w:rPr>
      </w:pPr>
      <w:r>
        <w:rPr>
          <w:rFonts w:hint="eastAsia" w:ascii="宋体" w:hAnsi="宋体" w:cs="宋体"/>
          <w:kern w:val="0"/>
          <w:sz w:val="36"/>
          <w:szCs w:val="36"/>
        </w:rPr>
        <w:t xml:space="preserve"> </w:t>
      </w:r>
    </w:p>
    <w:p>
      <w:pPr>
        <w:pStyle w:val="3"/>
      </w:pPr>
      <w:bookmarkStart w:id="2432" w:name="_Toc22170"/>
      <w:bookmarkStart w:id="2433" w:name="_Toc3782"/>
      <w:bookmarkStart w:id="2434" w:name="_Toc14440"/>
      <w:bookmarkStart w:id="2435" w:name="_Toc325"/>
      <w:bookmarkStart w:id="2436" w:name="_Toc23005"/>
      <w:bookmarkStart w:id="2437" w:name="_Toc27149"/>
      <w:bookmarkStart w:id="2438" w:name="_Toc13602"/>
      <w:bookmarkStart w:id="2439" w:name="_Toc11734"/>
      <w:bookmarkStart w:id="2440" w:name="_Toc1779"/>
      <w:bookmarkStart w:id="2441" w:name="_Toc24956"/>
      <w:bookmarkStart w:id="2442" w:name="_Toc32089"/>
      <w:bookmarkStart w:id="2443" w:name="_Toc31619"/>
      <w:bookmarkStart w:id="2444" w:name="_Toc16905"/>
      <w:bookmarkStart w:id="2445" w:name="_Toc8419"/>
      <w:r>
        <w:rPr>
          <w:rFonts w:hint="eastAsia"/>
        </w:rPr>
        <w:t>苏州市绿化苗木信息价采集发布和使用说明</w:t>
      </w:r>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p>
    <w:p>
      <w:pPr>
        <w:widowControl/>
        <w:autoSpaceDE w:val="0"/>
        <w:ind w:firstLine="720"/>
        <w:jc w:val="left"/>
        <w:rPr>
          <w:rFonts w:ascii="宋体" w:hAnsi="宋体" w:cs="宋体"/>
          <w:kern w:val="0"/>
          <w:sz w:val="36"/>
          <w:szCs w:val="36"/>
        </w:rPr>
      </w:pPr>
      <w:r>
        <w:rPr>
          <w:rFonts w:hint="eastAsia" w:ascii="宋体" w:hAnsi="宋体" w:cs="宋体"/>
          <w:kern w:val="0"/>
          <w:sz w:val="36"/>
          <w:szCs w:val="36"/>
        </w:rPr>
        <w:t xml:space="preserve"> </w:t>
      </w:r>
    </w:p>
    <w:p>
      <w:pPr>
        <w:ind w:firstLine="560"/>
      </w:pPr>
      <w:r>
        <w:rPr>
          <w:rFonts w:hint="eastAsia"/>
        </w:rPr>
        <w:t>为合理确定和有效控制园林绿化工程造价，规范本市绿化苗木信息价的采集发布和合理使用，根据《江苏省建设工程造价管理办法》（省政府66号令）、《江苏省建设工程价格信息质量控制标准》和《苏州市建设工程价格信息员管理办法》等相关规定，现将具体事项说明如下：</w:t>
      </w:r>
    </w:p>
    <w:p>
      <w:pPr>
        <w:ind w:firstLine="562"/>
        <w:outlineLvl w:val="1"/>
        <w:rPr>
          <w:b/>
          <w:bCs/>
        </w:rPr>
      </w:pPr>
      <w:bookmarkStart w:id="2446" w:name="_Toc30624"/>
      <w:bookmarkStart w:id="2447" w:name="_Toc4661"/>
      <w:bookmarkStart w:id="2448" w:name="_Toc5863"/>
      <w:bookmarkStart w:id="2449" w:name="_Toc12869"/>
      <w:bookmarkStart w:id="2450" w:name="_Toc25251"/>
      <w:bookmarkStart w:id="2451" w:name="_Toc32506"/>
      <w:bookmarkStart w:id="2452" w:name="_Toc15573"/>
      <w:bookmarkStart w:id="2453" w:name="_Toc22745"/>
      <w:bookmarkStart w:id="2454" w:name="_Toc23511"/>
      <w:bookmarkStart w:id="2455" w:name="_Toc6728"/>
      <w:r>
        <w:rPr>
          <w:rFonts w:hint="eastAsia"/>
          <w:b/>
          <w:bCs/>
        </w:rPr>
        <w:t>一、苏州市绿化苗木信息价的列项</w:t>
      </w:r>
      <w:bookmarkEnd w:id="2446"/>
      <w:bookmarkEnd w:id="2447"/>
      <w:bookmarkEnd w:id="2448"/>
      <w:bookmarkEnd w:id="2449"/>
      <w:bookmarkEnd w:id="2450"/>
      <w:bookmarkEnd w:id="2451"/>
      <w:bookmarkEnd w:id="2452"/>
      <w:bookmarkEnd w:id="2453"/>
      <w:bookmarkEnd w:id="2454"/>
      <w:bookmarkEnd w:id="2455"/>
    </w:p>
    <w:p>
      <w:pPr>
        <w:ind w:firstLine="560"/>
      </w:pPr>
      <w:r>
        <w:rPr>
          <w:rFonts w:hint="eastAsia"/>
        </w:rPr>
        <w:t>绿化苗木信息价列项是一项重要的基础工作。鉴于目前条件，园林苗木项目现暂列乔木类、竹类、棕榈类、灌木类、绿篱类、攀缘植物类、色带类、花卉类、铺种草皮类、水生植物类等十大类，每大类下再设列具体苗木名称（品种）及其规格。苗木名称（品种）和规格的编列符合本市园林苗木的实际情况，以园林绿化工程常用的苗木品种为主。</w:t>
      </w:r>
    </w:p>
    <w:p>
      <w:pPr>
        <w:ind w:firstLine="562"/>
        <w:outlineLvl w:val="1"/>
        <w:rPr>
          <w:b/>
          <w:bCs/>
        </w:rPr>
      </w:pPr>
      <w:bookmarkStart w:id="2456" w:name="_Toc15135"/>
      <w:bookmarkStart w:id="2457" w:name="_Toc30305"/>
      <w:bookmarkStart w:id="2458" w:name="_Toc8341"/>
      <w:bookmarkStart w:id="2459" w:name="_Toc27216"/>
      <w:bookmarkStart w:id="2460" w:name="_Toc22136"/>
      <w:bookmarkStart w:id="2461" w:name="_Toc18300"/>
      <w:bookmarkStart w:id="2462" w:name="_Toc30503"/>
      <w:bookmarkStart w:id="2463" w:name="_Toc25672"/>
      <w:bookmarkStart w:id="2464" w:name="_Toc1530"/>
      <w:bookmarkStart w:id="2465" w:name="_Toc18345"/>
      <w:r>
        <w:rPr>
          <w:rFonts w:hint="eastAsia"/>
          <w:b/>
          <w:bCs/>
        </w:rPr>
        <w:t>二、苏州市绿化苗木信息价的编制</w:t>
      </w:r>
      <w:bookmarkEnd w:id="2456"/>
      <w:bookmarkEnd w:id="2457"/>
      <w:bookmarkEnd w:id="2458"/>
      <w:bookmarkEnd w:id="2459"/>
      <w:bookmarkEnd w:id="2460"/>
      <w:bookmarkEnd w:id="2461"/>
      <w:bookmarkEnd w:id="2462"/>
      <w:bookmarkEnd w:id="2463"/>
      <w:bookmarkEnd w:id="2464"/>
      <w:bookmarkEnd w:id="2465"/>
    </w:p>
    <w:p>
      <w:pPr>
        <w:ind w:firstLine="560"/>
      </w:pPr>
      <w:r>
        <w:rPr>
          <w:rFonts w:hint="eastAsia"/>
        </w:rPr>
        <w:t>绿化苗木信息价综合了苗木自来源地运至施工现场所发生的全部费用，以及为组织采购、供应和保管苗木过程中所需要的各项费用。</w:t>
      </w:r>
    </w:p>
    <w:p>
      <w:pPr>
        <w:ind w:firstLine="560"/>
      </w:pPr>
      <w:r>
        <w:rPr>
          <w:rFonts w:hint="eastAsia"/>
        </w:rPr>
        <w:t>1、绿化苗木信息价的取价原则</w:t>
      </w:r>
    </w:p>
    <w:p>
      <w:pPr>
        <w:ind w:firstLine="560"/>
      </w:pPr>
      <w:r>
        <w:rPr>
          <w:rFonts w:hint="eastAsia"/>
        </w:rPr>
        <w:t>园林苗木是特殊的、有生命的工程材料，而且苗木品种繁多，规格各异，再加上供货渠道广阔，价格构成因素多等原因，造成了苗木信息价编制具有一定的难度。根据苗木的上述特点和目前实际情况，确定其取价原则是：接近市场、批量供应、保证质量。具体要求为：</w:t>
      </w:r>
    </w:p>
    <w:p>
      <w:pPr>
        <w:ind w:firstLine="560"/>
      </w:pPr>
      <w:r>
        <w:rPr>
          <w:rFonts w:hint="eastAsia"/>
        </w:rPr>
        <w:t>苗木的价位应该尽可能反映当前苗木市场的价格水平；</w:t>
      </w:r>
    </w:p>
    <w:p>
      <w:pPr>
        <w:ind w:firstLine="560"/>
      </w:pPr>
      <w:r>
        <w:rPr>
          <w:rFonts w:hint="eastAsia"/>
        </w:rPr>
        <w:t>苗木的供应方式应该是大批量供应而不是零星销售；</w:t>
      </w:r>
    </w:p>
    <w:p>
      <w:pPr>
        <w:ind w:firstLine="560"/>
      </w:pPr>
      <w:r>
        <w:rPr>
          <w:rFonts w:hint="eastAsia"/>
        </w:rPr>
        <w:t>2、绿化苗木信息价的计算方法</w:t>
      </w:r>
    </w:p>
    <w:p>
      <w:pPr>
        <w:ind w:firstLine="560"/>
      </w:pPr>
      <w:r>
        <w:rPr>
          <w:rFonts w:hint="eastAsia"/>
        </w:rPr>
        <w:t>绿化苗木信息价＝苗木到工地价×（1＋采购保管费率）</w:t>
      </w:r>
    </w:p>
    <w:p>
      <w:pPr>
        <w:ind w:firstLine="560"/>
      </w:pPr>
      <w:r>
        <w:rPr>
          <w:rFonts w:hint="eastAsia"/>
        </w:rPr>
        <w:t>式中“苗木到工地价”是指苗木直接送达施工现场的价格。</w:t>
      </w:r>
    </w:p>
    <w:p>
      <w:pPr>
        <w:ind w:firstLine="560"/>
      </w:pPr>
      <w:r>
        <w:rPr>
          <w:rFonts w:hint="eastAsia"/>
        </w:rPr>
        <w:t>苗木到工地价＝市场供应价＋运杂费；市场供应价包括苗木的圃存价、苗木包扎费、圃内搬运费等费用；运杂费包括装卸费、运输费、运输损耗等费用；苗木采购保管费率按2.0%计算。</w:t>
      </w:r>
    </w:p>
    <w:p>
      <w:pPr>
        <w:ind w:firstLine="560"/>
      </w:pPr>
      <w:r>
        <w:rPr>
          <w:rFonts w:hint="eastAsia"/>
        </w:rPr>
        <w:t>3、绿化苗木信息价编制的工作程序</w:t>
      </w:r>
    </w:p>
    <w:p>
      <w:pPr>
        <w:ind w:firstLine="560"/>
      </w:pPr>
      <w:r>
        <w:rPr>
          <w:rFonts w:hint="eastAsia"/>
        </w:rPr>
        <w:t>苏州市建设工程造价信息员（苗木组），深入苗木行业协会、种植基地和苗木交易市场等地开展实地调研，对本地及邻近地区苗木种植的土地租金、土地复耕费、育苗或小苗采购价、化肥农药成本、人工费等成本架构进行摸底，对苗木交易市场的价格进行数据采集、分析和汇总，汇总数据经苏州市建设工程造价信息员（苗木组）专题会议讨论通过，由苏州市工程造价管理处总体协调和平衡后予以发布。</w:t>
      </w:r>
    </w:p>
    <w:p>
      <w:pPr>
        <w:ind w:firstLine="562"/>
        <w:outlineLvl w:val="1"/>
        <w:rPr>
          <w:b/>
          <w:bCs/>
        </w:rPr>
      </w:pPr>
      <w:bookmarkStart w:id="2466" w:name="_Toc24101"/>
      <w:bookmarkStart w:id="2467" w:name="_Toc17"/>
      <w:bookmarkStart w:id="2468" w:name="_Toc25988"/>
      <w:bookmarkStart w:id="2469" w:name="_Toc22911"/>
      <w:bookmarkStart w:id="2470" w:name="_Toc32706"/>
      <w:bookmarkStart w:id="2471" w:name="_Toc14149"/>
      <w:bookmarkStart w:id="2472" w:name="_Toc360"/>
      <w:bookmarkStart w:id="2473" w:name="_Toc17305"/>
      <w:bookmarkStart w:id="2474" w:name="_Toc115"/>
      <w:bookmarkStart w:id="2475" w:name="_Toc1247"/>
      <w:r>
        <w:rPr>
          <w:rFonts w:hint="eastAsia"/>
          <w:b/>
          <w:bCs/>
        </w:rPr>
        <w:t>三、苏州市绿化苗木信息价的使用</w:t>
      </w:r>
      <w:bookmarkEnd w:id="2466"/>
      <w:bookmarkEnd w:id="2467"/>
      <w:bookmarkEnd w:id="2468"/>
      <w:bookmarkEnd w:id="2469"/>
      <w:bookmarkEnd w:id="2470"/>
      <w:bookmarkEnd w:id="2471"/>
      <w:bookmarkEnd w:id="2472"/>
      <w:bookmarkEnd w:id="2473"/>
      <w:bookmarkEnd w:id="2474"/>
      <w:bookmarkEnd w:id="2475"/>
    </w:p>
    <w:p>
      <w:pPr>
        <w:ind w:firstLine="560"/>
      </w:pPr>
      <w:r>
        <w:rPr>
          <w:rFonts w:hint="eastAsia"/>
        </w:rPr>
        <w:t>1、园林绿化工程发承包双方应根据每年度发布的绿化苗木信息价（可结合工程实际情况作上、下浮动）来确定苗木的合同结算价，并据此进行工程结算。园林绿化工程在招标投标活动中,招标人可根据苏州市绿化苗木信息价编制招标控制价；投标人可参考苏州市绿化苗木信息价来编制投标报价。</w:t>
      </w:r>
    </w:p>
    <w:p>
      <w:pPr>
        <w:ind w:firstLine="560"/>
      </w:pPr>
      <w:r>
        <w:rPr>
          <w:rFonts w:hint="eastAsia"/>
        </w:rPr>
        <w:t>2、苗木起掘、种植时间应该在适宜季节里进行，若因工程特殊原因要求在反季节种植的，工程结算时可适当考虑技术措施费用。</w:t>
      </w:r>
    </w:p>
    <w:p>
      <w:pPr>
        <w:ind w:firstLine="562"/>
        <w:outlineLvl w:val="1"/>
        <w:rPr>
          <w:b/>
          <w:bCs/>
        </w:rPr>
      </w:pPr>
      <w:bookmarkStart w:id="2476" w:name="_Toc10533"/>
      <w:bookmarkStart w:id="2477" w:name="_Toc29087"/>
      <w:bookmarkStart w:id="2478" w:name="_Toc15195"/>
      <w:bookmarkStart w:id="2479" w:name="_Toc29396"/>
      <w:bookmarkStart w:id="2480" w:name="_Toc8579"/>
      <w:bookmarkStart w:id="2481" w:name="_Toc12908"/>
      <w:bookmarkStart w:id="2482" w:name="_Toc8996"/>
      <w:bookmarkStart w:id="2483" w:name="_Toc13321"/>
      <w:bookmarkStart w:id="2484" w:name="_Toc6339"/>
      <w:bookmarkStart w:id="2485" w:name="_Toc10646"/>
      <w:r>
        <w:rPr>
          <w:rFonts w:hint="eastAsia"/>
          <w:b/>
          <w:bCs/>
        </w:rPr>
        <w:t>四、苏州市绿化苗木信息价的规格取定</w:t>
      </w:r>
      <w:bookmarkEnd w:id="2476"/>
      <w:bookmarkEnd w:id="2477"/>
      <w:bookmarkEnd w:id="2478"/>
      <w:bookmarkEnd w:id="2479"/>
      <w:bookmarkEnd w:id="2480"/>
      <w:bookmarkEnd w:id="2481"/>
      <w:bookmarkEnd w:id="2482"/>
      <w:bookmarkEnd w:id="2483"/>
      <w:bookmarkEnd w:id="2484"/>
      <w:bookmarkEnd w:id="2485"/>
    </w:p>
    <w:p>
      <w:pPr>
        <w:ind w:firstLine="560"/>
      </w:pPr>
      <w:r>
        <w:rPr>
          <w:rFonts w:hint="eastAsia"/>
        </w:rPr>
        <w:t>1、苗木高度——苗木露出地表的根茎部至树冠顶部之间的垂直距离。</w:t>
      </w:r>
    </w:p>
    <w:p>
      <w:pPr>
        <w:ind w:firstLine="560"/>
      </w:pPr>
      <w:r>
        <w:rPr>
          <w:rFonts w:hint="eastAsia"/>
        </w:rPr>
        <w:t>2、蓬径（又称冠径）——苗木冠丛最大幅度之间的直径。</w:t>
      </w:r>
    </w:p>
    <w:p>
      <w:pPr>
        <w:ind w:firstLine="560"/>
      </w:pPr>
      <w:r>
        <w:rPr>
          <w:rFonts w:hint="eastAsia"/>
        </w:rPr>
        <w:t>3、胸径——地面以上1.2m处的树干直径。</w:t>
      </w:r>
    </w:p>
    <w:p>
      <w:pPr>
        <w:ind w:firstLine="560"/>
      </w:pPr>
      <w:r>
        <w:rPr>
          <w:rFonts w:hint="eastAsia"/>
        </w:rPr>
        <w:t>4、竹子茎粗——地面以上1.2m处的竹子直径。</w:t>
      </w:r>
    </w:p>
    <w:p>
      <w:pPr>
        <w:ind w:firstLine="560"/>
      </w:pPr>
      <w:r>
        <w:rPr>
          <w:rFonts w:hint="eastAsia"/>
        </w:rPr>
        <w:t>5、土球直径（又称泥球径）——苗木移植时根部所带泥球的直径。</w:t>
      </w:r>
    </w:p>
    <w:p>
      <w:pPr>
        <w:ind w:firstLine="560"/>
      </w:pPr>
      <w:r>
        <w:rPr>
          <w:rFonts w:hint="eastAsia"/>
        </w:rPr>
        <w:t xml:space="preserve"> </w:t>
      </w:r>
    </w:p>
    <w:p>
      <w:pPr>
        <w:ind w:firstLine="560"/>
      </w:pPr>
      <w:r>
        <w:rPr>
          <w:rFonts w:hint="eastAsia"/>
        </w:rPr>
        <w:t xml:space="preserve">苏州市绿化苗木信息价现予以发布，于2019年6月1日起执行。                                                                   </w:t>
      </w:r>
    </w:p>
    <w:p>
      <w:pPr>
        <w:ind w:firstLine="560"/>
      </w:pPr>
      <w:r>
        <w:rPr>
          <w:rFonts w:hint="eastAsia"/>
        </w:rPr>
        <w:t xml:space="preserve"> </w:t>
      </w:r>
    </w:p>
    <w:p>
      <w:pPr>
        <w:ind w:firstLine="560"/>
      </w:pPr>
      <w:r>
        <w:rPr>
          <w:rFonts w:hint="eastAsia"/>
        </w:rPr>
        <w:t xml:space="preserve"> </w:t>
      </w:r>
    </w:p>
    <w:p>
      <w:pPr>
        <w:ind w:firstLine="4200" w:firstLineChars="1500"/>
      </w:pPr>
      <w:r>
        <w:rPr>
          <w:rFonts w:hint="eastAsia"/>
        </w:rPr>
        <w:t>苏州市工程造价管理处</w:t>
      </w:r>
    </w:p>
    <w:p>
      <w:pPr>
        <w:ind w:firstLine="4564" w:firstLineChars="1630"/>
      </w:pPr>
      <w:r>
        <w:rPr>
          <w:rFonts w:hint="eastAsia"/>
        </w:rPr>
        <w:t>2019年5月30日</w:t>
      </w:r>
    </w:p>
    <w:p>
      <w:pPr>
        <w:autoSpaceDE w:val="0"/>
        <w:autoSpaceDN w:val="0"/>
        <w:spacing w:before="59"/>
        <w:ind w:left="8179" w:leftChars="2921" w:right="1670" w:firstLine="2800" w:firstLineChars="1000"/>
        <w:jc w:val="left"/>
        <w:rPr>
          <w:rFonts w:ascii="宋体" w:hAnsi="宋体" w:cs="宋体"/>
          <w:kern w:val="0"/>
          <w:szCs w:val="28"/>
        </w:rPr>
      </w:pPr>
      <w:r>
        <w:rPr>
          <w:rFonts w:hint="eastAsia" w:ascii="宋体" w:hAnsi="宋体" w:cs="宋体"/>
          <w:kern w:val="0"/>
          <w:szCs w:val="28"/>
        </w:rPr>
        <w:t xml:space="preserve"> </w:t>
      </w:r>
    </w:p>
    <w:p>
      <w:pPr>
        <w:ind w:firstLine="560"/>
        <w:jc w:val="center"/>
        <w:rPr>
          <w:rFonts w:ascii="方正小标宋_GBK" w:hAnsi="黑体" w:eastAsia="方正小标宋_GBK"/>
          <w:sz w:val="11"/>
          <w:szCs w:val="11"/>
        </w:rPr>
      </w:pPr>
      <w:r>
        <w:rPr>
          <w:rFonts w:ascii="宋体" w:hAnsi="宋体" w:cs="宋体"/>
          <w:kern w:val="0"/>
          <w:szCs w:val="28"/>
        </w:rPr>
        <w:br w:type="page"/>
      </w:r>
    </w:p>
    <w:p>
      <w:pPr>
        <w:pStyle w:val="5"/>
      </w:pPr>
      <w:bookmarkStart w:id="2486" w:name="_Toc24801"/>
      <w:bookmarkStart w:id="2487" w:name="_Toc1249"/>
      <w:bookmarkStart w:id="2488" w:name="_Toc10355"/>
      <w:bookmarkStart w:id="2489" w:name="_Toc32368"/>
      <w:bookmarkStart w:id="2490" w:name="_Toc30994"/>
      <w:bookmarkStart w:id="2491" w:name="_Toc16158"/>
      <w:bookmarkStart w:id="2492" w:name="_Toc7715"/>
      <w:r>
        <w:rPr>
          <w:rFonts w:hint="eastAsia"/>
        </w:rPr>
        <w:t>苏州市工程造价管理处</w:t>
      </w:r>
      <w:bookmarkEnd w:id="2486"/>
      <w:bookmarkEnd w:id="2487"/>
      <w:bookmarkEnd w:id="2488"/>
      <w:bookmarkEnd w:id="2489"/>
      <w:bookmarkEnd w:id="2490"/>
      <w:bookmarkEnd w:id="2491"/>
      <w:bookmarkEnd w:id="2492"/>
    </w:p>
    <w:p>
      <w:pPr>
        <w:ind w:firstLine="560"/>
      </w:pPr>
    </w:p>
    <w:p>
      <w:pPr>
        <w:pStyle w:val="4"/>
      </w:pPr>
      <w:bookmarkStart w:id="2493" w:name="_Toc3217"/>
      <w:bookmarkStart w:id="2494" w:name="_Toc7290"/>
      <w:bookmarkStart w:id="2495" w:name="_Toc17127"/>
      <w:bookmarkStart w:id="2496" w:name="_Toc26080"/>
      <w:bookmarkStart w:id="2497" w:name="_Toc17818"/>
      <w:bookmarkStart w:id="2498" w:name="_Toc4125"/>
      <w:bookmarkStart w:id="2499" w:name="_Toc6301"/>
      <w:bookmarkStart w:id="2500" w:name="_Toc14153"/>
      <w:bookmarkStart w:id="2501" w:name="_Toc6209"/>
      <w:bookmarkStart w:id="2502" w:name="_Toc20561"/>
      <w:bookmarkStart w:id="2503" w:name="_Toc14572"/>
      <w:r>
        <w:rPr>
          <w:rFonts w:hint="eastAsia"/>
        </w:rPr>
        <w:t>苏工价〔2020〕1号</w:t>
      </w:r>
      <w:bookmarkEnd w:id="2493"/>
      <w:bookmarkEnd w:id="2494"/>
      <w:bookmarkEnd w:id="2495"/>
      <w:bookmarkEnd w:id="2496"/>
      <w:bookmarkEnd w:id="2497"/>
      <w:bookmarkEnd w:id="2498"/>
      <w:bookmarkEnd w:id="2499"/>
      <w:bookmarkEnd w:id="2500"/>
      <w:bookmarkEnd w:id="2501"/>
      <w:bookmarkEnd w:id="2502"/>
      <w:bookmarkEnd w:id="2503"/>
    </w:p>
    <w:p>
      <w:pPr>
        <w:pStyle w:val="2"/>
        <w:numPr>
          <w:ilvl w:val="0"/>
          <w:numId w:val="0"/>
        </w:numPr>
        <w:ind w:left="420"/>
      </w:pPr>
    </w:p>
    <w:p>
      <w:pPr>
        <w:pStyle w:val="3"/>
        <w:keepNext/>
        <w:keepLines/>
        <w:pageBreakBefore w:val="0"/>
        <w:widowControl w:val="0"/>
        <w:kinsoku/>
        <w:wordWrap/>
        <w:overflowPunct/>
        <w:topLinePunct w:val="0"/>
        <w:autoSpaceDE/>
        <w:autoSpaceDN/>
        <w:bidi w:val="0"/>
        <w:adjustRightInd/>
        <w:snapToGrid/>
        <w:spacing w:line="600" w:lineRule="exact"/>
        <w:textAlignment w:val="auto"/>
      </w:pPr>
      <w:bookmarkStart w:id="2504" w:name="_Toc7478"/>
      <w:bookmarkStart w:id="2505" w:name="_Toc11084"/>
      <w:bookmarkStart w:id="2506" w:name="_Toc27074"/>
      <w:bookmarkStart w:id="2507" w:name="_Toc24689"/>
      <w:bookmarkStart w:id="2508" w:name="_Toc30818"/>
      <w:bookmarkStart w:id="2509" w:name="_Toc18737"/>
      <w:bookmarkStart w:id="2510" w:name="_Toc9774"/>
      <w:bookmarkStart w:id="2511" w:name="_Toc16522"/>
      <w:bookmarkStart w:id="2512" w:name="_Toc12076"/>
      <w:bookmarkStart w:id="2513" w:name="_Toc310"/>
      <w:bookmarkStart w:id="2514" w:name="_Toc24220"/>
      <w:bookmarkStart w:id="2515" w:name="_Toc2362"/>
      <w:bookmarkStart w:id="2516" w:name="_Toc3980"/>
      <w:bookmarkStart w:id="2517" w:name="_Toc6216"/>
      <w:r>
        <w:rPr>
          <w:rFonts w:hint="eastAsia"/>
        </w:rPr>
        <w:t>关于贯彻执行江苏省建设工程造价管理总站《关于进一步规范建设工程材料价格发布工作的通知》的通知</w:t>
      </w:r>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p>
    <w:p>
      <w:pPr>
        <w:spacing w:line="500" w:lineRule="exact"/>
        <w:ind w:firstLine="640"/>
      </w:pPr>
      <w:r>
        <w:rPr>
          <w:rFonts w:hint="eastAsia" w:ascii="仿宋_GB2312" w:hAnsi="仿宋"/>
          <w:sz w:val="32"/>
          <w:szCs w:val="32"/>
        </w:rPr>
        <w:t xml:space="preserve"> </w:t>
      </w:r>
    </w:p>
    <w:p>
      <w:pPr>
        <w:ind w:firstLine="0" w:firstLineChars="0"/>
      </w:pPr>
      <w:r>
        <w:rPr>
          <w:rFonts w:hint="eastAsia"/>
        </w:rPr>
        <w:t>各建设、施工企业，各工程造价咨询企业及中介机构，各有关单位：</w:t>
      </w:r>
    </w:p>
    <w:p>
      <w:pPr>
        <w:ind w:firstLine="560"/>
      </w:pPr>
      <w:r>
        <w:rPr>
          <w:rFonts w:hint="eastAsia"/>
        </w:rPr>
        <w:t>为贯彻执行江苏省建设工程造价管理总站《关于进一步规范建设工程材料价格发布工作的通知》（苏建价站〔2020 〕1号）文件精神，现结合我市实际情况，将有关事项进一步明确如下：</w:t>
      </w:r>
    </w:p>
    <w:p>
      <w:pPr>
        <w:ind w:firstLine="560"/>
      </w:pPr>
      <w:r>
        <w:rPr>
          <w:rFonts w:hint="eastAsia"/>
        </w:rPr>
        <w:t>一、自2020 年1月1日起，我市将原“建材指导价”更名为“建材信息价”，按照最新模板测报建材价格信息，并统一在苏州工程造价信息网站平台上以PDF格式发布，纸质材料将不再印发。</w:t>
      </w:r>
    </w:p>
    <w:p>
      <w:pPr>
        <w:ind w:firstLine="560"/>
      </w:pPr>
      <w:r>
        <w:rPr>
          <w:rFonts w:hint="eastAsia"/>
        </w:rPr>
        <w:t>二、各造价咨询企业在从事计价活动时，如未参考“建材信息价”，应进行充分合理的市场询价，并将询价记录归入工程造价咨询档案。</w:t>
      </w:r>
    </w:p>
    <w:p>
      <w:pPr>
        <w:ind w:firstLine="560"/>
      </w:pPr>
      <w:r>
        <w:rPr>
          <w:rFonts w:hint="eastAsia"/>
        </w:rPr>
        <w:t>三、发承包双方应在施工合同中明确约定是否使用和如何使用“建材信息价”，以及建材价格波动时风险分摊的计算方法。</w:t>
      </w:r>
    </w:p>
    <w:p>
      <w:pPr>
        <w:ind w:firstLine="560"/>
      </w:pPr>
      <w:r>
        <w:rPr>
          <w:rFonts w:hint="eastAsia"/>
        </w:rPr>
        <w:t xml:space="preserve"> 附件：江苏省建设工程造价管理总站《关于进一步规范建设工程材料价格发布工作的通知》（苏建价站〔2020 〕1号）</w:t>
      </w:r>
    </w:p>
    <w:p>
      <w:pPr>
        <w:ind w:firstLine="560"/>
      </w:pPr>
      <w:r>
        <w:rPr>
          <w:rFonts w:hint="eastAsia"/>
        </w:rPr>
        <w:t xml:space="preserve">   </w:t>
      </w:r>
    </w:p>
    <w:p>
      <w:pPr>
        <w:ind w:firstLine="4564" w:firstLineChars="1630"/>
      </w:pPr>
      <w:r>
        <w:rPr>
          <w:rFonts w:hint="eastAsia"/>
        </w:rPr>
        <w:t>苏州市工程造价管理处</w:t>
      </w:r>
    </w:p>
    <w:p>
      <w:pPr>
        <w:ind w:firstLine="4928" w:firstLineChars="1760"/>
        <w:rPr>
          <w:rFonts w:ascii="仿宋_GB2312" w:hAnsi="仿宋"/>
          <w:sz w:val="32"/>
          <w:szCs w:val="32"/>
        </w:rPr>
      </w:pPr>
      <w:r>
        <w:rPr>
          <w:rFonts w:hint="eastAsia"/>
        </w:rPr>
        <w:t>2020年1月9日</w:t>
      </w:r>
    </w:p>
    <w:p>
      <w:pPr>
        <w:pStyle w:val="5"/>
        <w:rPr>
          <w:rStyle w:val="29"/>
          <w:bCs/>
        </w:rPr>
      </w:pPr>
      <w:r>
        <w:rPr>
          <w:rFonts w:hint="eastAsia" w:ascii="仿宋_GB2312" w:hAnsi="仿宋" w:eastAsia="仿宋_GB2312"/>
          <w:sz w:val="32"/>
          <w:szCs w:val="32"/>
        </w:rPr>
        <w:t xml:space="preserve"> </w:t>
      </w:r>
      <w:bookmarkStart w:id="2518" w:name="_Toc26251"/>
      <w:bookmarkStart w:id="2519" w:name="_Toc9820"/>
      <w:bookmarkStart w:id="2520" w:name="_Toc19296"/>
      <w:bookmarkStart w:id="2521" w:name="_Toc5530"/>
      <w:bookmarkStart w:id="2522" w:name="_Toc22131"/>
      <w:bookmarkStart w:id="2523" w:name="_Toc32344"/>
      <w:bookmarkStart w:id="2524" w:name="_Toc31874"/>
      <w:bookmarkStart w:id="2525" w:name="_Toc8152"/>
      <w:r>
        <w:rPr>
          <w:rStyle w:val="29"/>
          <w:bCs/>
        </w:rPr>
        <w:t>苏州市工程造价管理处</w:t>
      </w:r>
      <w:bookmarkEnd w:id="2518"/>
      <w:bookmarkEnd w:id="2519"/>
      <w:bookmarkEnd w:id="2520"/>
      <w:bookmarkEnd w:id="2521"/>
      <w:bookmarkEnd w:id="2522"/>
      <w:bookmarkEnd w:id="2523"/>
      <w:bookmarkEnd w:id="2524"/>
      <w:bookmarkEnd w:id="2525"/>
    </w:p>
    <w:p>
      <w:pPr>
        <w:pStyle w:val="4"/>
        <w:rPr>
          <w:rFonts w:hint="eastAsia"/>
        </w:rPr>
      </w:pPr>
      <w:bookmarkStart w:id="2526" w:name="_Toc30970"/>
      <w:bookmarkStart w:id="2527" w:name="_Toc31656"/>
      <w:bookmarkStart w:id="2528" w:name="_Toc12370"/>
      <w:bookmarkStart w:id="2529" w:name="_Toc31752"/>
      <w:bookmarkStart w:id="2530" w:name="_Toc15710"/>
      <w:bookmarkStart w:id="2531" w:name="_Toc16058"/>
      <w:bookmarkStart w:id="2532" w:name="_Toc26558"/>
      <w:bookmarkStart w:id="2533" w:name="_Toc9304"/>
      <w:bookmarkStart w:id="2534" w:name="_Toc14954"/>
      <w:bookmarkStart w:id="2535" w:name="_Toc12416"/>
    </w:p>
    <w:p>
      <w:pPr>
        <w:pStyle w:val="4"/>
      </w:pPr>
      <w:bookmarkStart w:id="2536" w:name="_Toc31531"/>
      <w:r>
        <w:rPr>
          <w:rFonts w:hint="eastAsia"/>
        </w:rPr>
        <w:t>苏工价〔2020〕8号</w:t>
      </w:r>
      <w:bookmarkEnd w:id="2526"/>
      <w:bookmarkEnd w:id="2527"/>
      <w:bookmarkEnd w:id="2528"/>
      <w:bookmarkEnd w:id="2529"/>
      <w:bookmarkEnd w:id="2530"/>
      <w:bookmarkEnd w:id="2531"/>
      <w:bookmarkEnd w:id="2532"/>
      <w:bookmarkEnd w:id="2533"/>
      <w:bookmarkEnd w:id="2534"/>
      <w:bookmarkEnd w:id="2535"/>
      <w:bookmarkEnd w:id="2536"/>
    </w:p>
    <w:p>
      <w:pPr>
        <w:ind w:firstLine="560"/>
      </w:pPr>
    </w:p>
    <w:p>
      <w:pPr>
        <w:pStyle w:val="3"/>
      </w:pPr>
      <w:r>
        <w:t xml:space="preserve"> </w:t>
      </w:r>
      <w:bookmarkStart w:id="2537" w:name="_Toc24883"/>
      <w:bookmarkStart w:id="2538" w:name="_Toc11234"/>
      <w:bookmarkStart w:id="2539" w:name="_Toc15488"/>
      <w:bookmarkStart w:id="2540" w:name="_Toc14292"/>
      <w:bookmarkStart w:id="2541" w:name="_Toc160"/>
      <w:bookmarkStart w:id="2542" w:name="_Toc8762"/>
      <w:bookmarkStart w:id="2543" w:name="_Toc16657"/>
      <w:bookmarkStart w:id="2544" w:name="_Toc2374"/>
      <w:bookmarkStart w:id="2545" w:name="_Toc11806"/>
      <w:bookmarkStart w:id="2546" w:name="_Toc6546"/>
      <w:bookmarkStart w:id="2547" w:name="_Toc8963"/>
      <w:bookmarkStart w:id="2548" w:name="_Toc26924"/>
      <w:bookmarkStart w:id="2549" w:name="_Toc20988"/>
      <w:bookmarkStart w:id="2550" w:name="_Toc25766"/>
      <w:r>
        <w:rPr>
          <w:rFonts w:hint="eastAsia"/>
        </w:rPr>
        <w:t>关于停止在招标控制价中使用浮动幅度系数的通知</w:t>
      </w:r>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p>
    <w:p>
      <w:pPr>
        <w:widowControl/>
        <w:spacing w:line="315" w:lineRule="atLeast"/>
        <w:ind w:firstLine="560"/>
        <w:jc w:val="left"/>
        <w:rPr>
          <w:color w:val="000000"/>
          <w:szCs w:val="21"/>
        </w:rPr>
      </w:pPr>
      <w:r>
        <w:rPr>
          <w:color w:val="000000"/>
          <w:kern w:val="0"/>
        </w:rPr>
        <w:t xml:space="preserve"> </w:t>
      </w:r>
    </w:p>
    <w:p>
      <w:pPr>
        <w:ind w:firstLine="0" w:firstLineChars="0"/>
      </w:pPr>
    </w:p>
    <w:p>
      <w:pPr>
        <w:ind w:firstLine="0" w:firstLineChars="0"/>
      </w:pPr>
      <w:r>
        <w:rPr>
          <w:rFonts w:hint="eastAsia"/>
        </w:rPr>
        <w:t>各建设、造价咨询、招标代理及相关中介咨询机构：</w:t>
      </w:r>
    </w:p>
    <w:p>
      <w:pPr>
        <w:ind w:firstLine="560"/>
      </w:pPr>
      <w:r>
        <w:rPr>
          <w:rFonts w:hint="eastAsia"/>
        </w:rPr>
        <w:t>自2020年1月1日起，我市将原“建材指导价”更名为“建材信息价”。“建材信息价”是经多点采集、调查、分析、整理后完成的，反映发布期内材料到工地的综合价格（包括采购保管费），作为编制建设工程概预算、招标控制价的计价参考。现结合我市建筑市场的实际情况，对我市建设工程招标控制价编制有关事项明确如下：</w:t>
      </w:r>
    </w:p>
    <w:p>
      <w:pPr>
        <w:ind w:firstLine="560"/>
      </w:pPr>
      <w:r>
        <w:rPr>
          <w:rFonts w:hint="eastAsia"/>
        </w:rPr>
        <w:t>1、招标控制价应根据现行计价（计算）规范、各专业计价定额和费用定额以及发布的人工指导价格，参考造价管理部门发布的“建材信息价”进行编制，不应使用浮动幅度系数进行上调或下浮。</w:t>
      </w:r>
    </w:p>
    <w:p>
      <w:pPr>
        <w:ind w:firstLine="560"/>
      </w:pPr>
      <w:r>
        <w:rPr>
          <w:rFonts w:hint="eastAsia"/>
        </w:rPr>
        <w:t>2、取消造价管理部门以往发布的合理浮动幅度系数。</w:t>
      </w:r>
    </w:p>
    <w:p>
      <w:pPr>
        <w:ind w:firstLine="560"/>
      </w:pPr>
      <w:r>
        <w:rPr>
          <w:rFonts w:hint="eastAsia"/>
        </w:rPr>
        <w:t>3、本通知自2020年9月1日起执行。</w:t>
      </w:r>
    </w:p>
    <w:p>
      <w:pPr>
        <w:ind w:firstLine="560"/>
      </w:pPr>
      <w:r>
        <w:t xml:space="preserve">                             </w:t>
      </w:r>
      <w:r>
        <w:rPr>
          <w:rFonts w:hint="eastAsia"/>
        </w:rPr>
        <w:t xml:space="preserve">       </w:t>
      </w:r>
      <w:r>
        <w:t xml:space="preserve">         </w:t>
      </w:r>
    </w:p>
    <w:p>
      <w:pPr>
        <w:ind w:firstLine="4928" w:firstLineChars="1760"/>
      </w:pPr>
      <w:r>
        <w:rPr>
          <w:rFonts w:hint="eastAsia"/>
        </w:rPr>
        <w:t>苏州市工程造价管理处</w:t>
      </w:r>
    </w:p>
    <w:p>
      <w:pPr>
        <w:ind w:firstLine="560"/>
      </w:pPr>
      <w:r>
        <w:rPr>
          <w:rFonts w:hint="eastAsia"/>
        </w:rPr>
        <w:t xml:space="preserve"> </w:t>
      </w:r>
      <w:r>
        <w:t xml:space="preserve">   </w:t>
      </w:r>
      <w:r>
        <w:rPr>
          <w:rFonts w:hint="eastAsia"/>
        </w:rPr>
        <w:t xml:space="preserve">   </w:t>
      </w:r>
      <w:r>
        <w:t xml:space="preserve">           </w:t>
      </w:r>
      <w:r>
        <w:rPr>
          <w:rFonts w:hint="eastAsia"/>
        </w:rPr>
        <w:tab/>
      </w:r>
      <w:r>
        <w:rPr>
          <w:rFonts w:hint="eastAsia"/>
        </w:rPr>
        <w:tab/>
      </w:r>
      <w:r>
        <w:rPr>
          <w:rFonts w:hint="eastAsia"/>
        </w:rPr>
        <w:tab/>
      </w:r>
      <w:r>
        <w:rPr>
          <w:rFonts w:hint="eastAsia"/>
        </w:rPr>
        <w:tab/>
      </w:r>
      <w:r>
        <w:rPr>
          <w:rFonts w:hint="eastAsia"/>
        </w:rPr>
        <w:tab/>
      </w:r>
      <w:r>
        <w:rPr>
          <w:rFonts w:hint="eastAsia"/>
        </w:rPr>
        <w:t xml:space="preserve">  </w:t>
      </w:r>
      <w:r>
        <w:t xml:space="preserve">  </w:t>
      </w:r>
      <w:r>
        <w:rPr>
          <w:rFonts w:hint="eastAsia"/>
        </w:rPr>
        <w:t>2020年7月29日</w:t>
      </w:r>
      <w:r>
        <w:t xml:space="preserve">   </w:t>
      </w:r>
    </w:p>
    <w:p>
      <w:pPr>
        <w:pStyle w:val="5"/>
        <w:bidi w:val="0"/>
        <w:rPr>
          <w:rStyle w:val="29"/>
          <w:bCs/>
        </w:rPr>
      </w:pPr>
      <w:r>
        <w:br w:type="page"/>
      </w:r>
      <w:bookmarkStart w:id="2551" w:name="_Toc32378"/>
      <w:bookmarkStart w:id="2552" w:name="_Toc20604"/>
      <w:bookmarkStart w:id="2553" w:name="_Toc5988"/>
      <w:bookmarkStart w:id="2554" w:name="_Toc3474"/>
      <w:bookmarkStart w:id="2555" w:name="_Toc18151"/>
      <w:bookmarkStart w:id="2556" w:name="_Toc5137"/>
      <w:bookmarkStart w:id="2557" w:name="_Toc13098"/>
      <w:bookmarkStart w:id="2558" w:name="_Toc5452"/>
      <w:bookmarkStart w:id="2559" w:name="_Toc16264"/>
      <w:bookmarkStart w:id="2560" w:name="_Toc3122"/>
      <w:bookmarkStart w:id="2561" w:name="_Toc30420"/>
      <w:bookmarkStart w:id="2562" w:name="_Toc5027"/>
      <w:r>
        <w:rPr>
          <w:rStyle w:val="29"/>
          <w:bCs/>
        </w:rPr>
        <w:t>苏州市工程造价管理处</w:t>
      </w:r>
      <w:bookmarkEnd w:id="2551"/>
      <w:bookmarkEnd w:id="2552"/>
      <w:bookmarkEnd w:id="2553"/>
      <w:bookmarkEnd w:id="2554"/>
      <w:bookmarkEnd w:id="2555"/>
      <w:bookmarkEnd w:id="2556"/>
      <w:bookmarkEnd w:id="2557"/>
      <w:bookmarkEnd w:id="2558"/>
      <w:bookmarkEnd w:id="2559"/>
      <w:bookmarkEnd w:id="2560"/>
      <w:bookmarkEnd w:id="2561"/>
      <w:bookmarkEnd w:id="2562"/>
    </w:p>
    <w:p>
      <w:pPr>
        <w:pStyle w:val="4"/>
        <w:rPr>
          <w:rFonts w:hint="eastAsia"/>
        </w:rPr>
      </w:pPr>
      <w:bookmarkStart w:id="2563" w:name="_Toc11717"/>
      <w:bookmarkStart w:id="2564" w:name="_Toc7597"/>
      <w:bookmarkStart w:id="2565" w:name="_Toc10158"/>
      <w:bookmarkStart w:id="2566" w:name="_Toc25066"/>
      <w:bookmarkStart w:id="2567" w:name="_Toc25581"/>
      <w:bookmarkStart w:id="2568" w:name="_Toc17139"/>
      <w:bookmarkStart w:id="2569" w:name="_Toc21818"/>
      <w:bookmarkStart w:id="2570" w:name="_Toc13383"/>
      <w:bookmarkStart w:id="2571" w:name="_Toc4636"/>
      <w:bookmarkStart w:id="2572" w:name="_Toc16261"/>
    </w:p>
    <w:p>
      <w:pPr>
        <w:pStyle w:val="4"/>
      </w:pPr>
      <w:bookmarkStart w:id="2573" w:name="_Toc5110"/>
      <w:r>
        <w:rPr>
          <w:rFonts w:hint="eastAsia"/>
        </w:rPr>
        <w:t>苏工价〔20</w:t>
      </w:r>
      <w:r>
        <w:t>20</w:t>
      </w:r>
      <w:r>
        <w:rPr>
          <w:rFonts w:hint="eastAsia"/>
        </w:rPr>
        <w:t>〕10号</w:t>
      </w:r>
      <w:bookmarkEnd w:id="2563"/>
      <w:bookmarkEnd w:id="2564"/>
      <w:bookmarkEnd w:id="2565"/>
      <w:bookmarkEnd w:id="2566"/>
      <w:bookmarkEnd w:id="2567"/>
      <w:bookmarkEnd w:id="2568"/>
      <w:bookmarkEnd w:id="2569"/>
      <w:bookmarkEnd w:id="2570"/>
      <w:bookmarkEnd w:id="2571"/>
      <w:bookmarkEnd w:id="2572"/>
      <w:bookmarkEnd w:id="2573"/>
    </w:p>
    <w:p>
      <w:pPr>
        <w:ind w:firstLine="560"/>
      </w:pPr>
    </w:p>
    <w:p>
      <w:pPr>
        <w:pStyle w:val="3"/>
      </w:pPr>
      <w:bookmarkStart w:id="2574" w:name="_Toc7682"/>
      <w:bookmarkStart w:id="2575" w:name="_Toc32060"/>
      <w:bookmarkStart w:id="2576" w:name="_Toc29501"/>
      <w:bookmarkStart w:id="2577" w:name="_Toc13122"/>
      <w:bookmarkStart w:id="2578" w:name="_Toc650"/>
      <w:bookmarkStart w:id="2579" w:name="_Toc16843"/>
      <w:bookmarkStart w:id="2580" w:name="_Toc17958"/>
      <w:bookmarkStart w:id="2581" w:name="_Toc12685"/>
      <w:bookmarkStart w:id="2582" w:name="_Toc27462"/>
      <w:bookmarkStart w:id="2583" w:name="_Toc3744"/>
      <w:bookmarkStart w:id="2584" w:name="_Toc7159"/>
      <w:bookmarkStart w:id="2585" w:name="_Toc25062"/>
      <w:bookmarkStart w:id="2586" w:name="_Toc22780"/>
      <w:bookmarkStart w:id="2587" w:name="_Toc578"/>
      <w:r>
        <w:rPr>
          <w:rFonts w:hint="eastAsia"/>
        </w:rPr>
        <w:t>关于明确承插型盘扣式脚手架和模板支架计价问题的通知</w:t>
      </w:r>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p>
    <w:p>
      <w:pPr>
        <w:ind w:firstLine="560"/>
      </w:pPr>
    </w:p>
    <w:p>
      <w:pPr>
        <w:ind w:firstLine="560"/>
      </w:pPr>
    </w:p>
    <w:p>
      <w:pPr>
        <w:ind w:firstLine="0" w:firstLineChars="0"/>
      </w:pPr>
      <w:r>
        <w:rPr>
          <w:rFonts w:hint="eastAsia"/>
        </w:rPr>
        <w:t>各建设、设计、施工单位、中介咨询机构，各有关单位：</w:t>
      </w:r>
    </w:p>
    <w:p>
      <w:pPr>
        <w:ind w:firstLine="560"/>
      </w:pPr>
      <w:r>
        <w:rPr>
          <w:rFonts w:hint="eastAsia"/>
        </w:rPr>
        <w:t>为规范计价行为，统一计价口径，根据调研和测算，现就我市房屋建筑和市政基础设施工程施工现场使用承插型盘扣式脚手架和模板支架计价问题，明确如下：</w:t>
      </w:r>
    </w:p>
    <w:p>
      <w:pPr>
        <w:ind w:firstLine="560"/>
      </w:pPr>
      <w:r>
        <w:rPr>
          <w:rFonts w:hint="eastAsia"/>
        </w:rPr>
        <w:t>一、采用承插型盘扣式脚手架、模板支架的，其定额子目（含檐高超过20米脚手材料增加费子目）中的脚手钢管、扣件、底座、钢管支撑（钢模支撑）、卡具（零星卡具）以及钢模另配件等材料费现行价之和，按不同开工日，分别乘以相应系数，其余不变。</w:t>
      </w:r>
    </w:p>
    <w:p>
      <w:pPr>
        <w:ind w:firstLine="560"/>
      </w:pPr>
      <w:r>
        <w:rPr>
          <w:rFonts w:hint="eastAsia"/>
        </w:rPr>
        <w:t>（一）2021年1月1日之前开工的：</w:t>
      </w:r>
    </w:p>
    <w:p>
      <w:pPr>
        <w:ind w:firstLine="560"/>
      </w:pPr>
      <w:r>
        <w:rPr>
          <w:rFonts w:hint="eastAsia"/>
        </w:rPr>
        <w:t>1、双排外架子脚手架，系数1.9，</w:t>
      </w:r>
    </w:p>
    <w:p>
      <w:pPr>
        <w:ind w:firstLine="560"/>
      </w:pPr>
      <w:r>
        <w:rPr>
          <w:rFonts w:hint="eastAsia"/>
        </w:rPr>
        <w:t>2、综合脚手架，系数1.7，</w:t>
      </w:r>
    </w:p>
    <w:p>
      <w:pPr>
        <w:ind w:firstLine="560"/>
      </w:pPr>
      <w:r>
        <w:rPr>
          <w:rFonts w:hint="eastAsia"/>
        </w:rPr>
        <w:t>3、其余脚手架和模板支架，系数1.5。</w:t>
      </w:r>
    </w:p>
    <w:p>
      <w:pPr>
        <w:ind w:firstLine="560"/>
      </w:pPr>
      <w:r>
        <w:rPr>
          <w:rFonts w:hint="eastAsia"/>
        </w:rPr>
        <w:t>（二）2021年1月1日之后（含2021年1月1日）开工的：</w:t>
      </w:r>
    </w:p>
    <w:p>
      <w:pPr>
        <w:ind w:firstLine="560"/>
      </w:pPr>
      <w:r>
        <w:rPr>
          <w:rFonts w:hint="eastAsia"/>
        </w:rPr>
        <w:t>1、双排外架子脚手架，系数1.6，</w:t>
      </w:r>
    </w:p>
    <w:p>
      <w:pPr>
        <w:ind w:firstLine="560"/>
      </w:pPr>
      <w:r>
        <w:rPr>
          <w:rFonts w:hint="eastAsia"/>
        </w:rPr>
        <w:t>2、.综合脚手架，系数1.45，</w:t>
      </w:r>
    </w:p>
    <w:p>
      <w:pPr>
        <w:ind w:firstLine="560"/>
      </w:pPr>
      <w:r>
        <w:rPr>
          <w:rFonts w:hint="eastAsia"/>
        </w:rPr>
        <w:t>3、其余脚手架和模板支架，系数1.3。</w:t>
      </w:r>
    </w:p>
    <w:p>
      <w:pPr>
        <w:ind w:firstLine="560"/>
      </w:pPr>
      <w:r>
        <w:rPr>
          <w:rFonts w:hint="eastAsia"/>
        </w:rPr>
        <w:t>二、执行过程中，上级有新规定的，则按新规定执行。</w:t>
      </w:r>
    </w:p>
    <w:p>
      <w:pPr>
        <w:ind w:firstLine="560"/>
      </w:pPr>
      <w:r>
        <w:rPr>
          <w:rFonts w:hint="eastAsia"/>
        </w:rPr>
        <w:t>三、本文下发后，已结算工程不再调整。</w:t>
      </w:r>
    </w:p>
    <w:p>
      <w:pPr>
        <w:pStyle w:val="2"/>
        <w:numPr>
          <w:ilvl w:val="0"/>
          <w:numId w:val="0"/>
        </w:numPr>
        <w:spacing w:line="500" w:lineRule="exact"/>
      </w:pPr>
    </w:p>
    <w:p>
      <w:pPr>
        <w:pStyle w:val="2"/>
        <w:numPr>
          <w:ilvl w:val="0"/>
          <w:numId w:val="0"/>
        </w:numPr>
        <w:spacing w:line="500" w:lineRule="exact"/>
      </w:pPr>
    </w:p>
    <w:p>
      <w:pPr>
        <w:ind w:firstLine="560"/>
      </w:pPr>
      <w:r>
        <w:rPr>
          <w:rFonts w:hint="eastAsia"/>
        </w:rPr>
        <w:t xml:space="preserve">                               苏州市工程造价管理处</w:t>
      </w:r>
    </w:p>
    <w:p>
      <w:pPr>
        <w:ind w:firstLine="560"/>
        <w:rPr>
          <w:rFonts w:hint="eastAsia" w:ascii="宋体" w:hAnsi="宋体" w:cs="宋体"/>
          <w:szCs w:val="28"/>
          <w:lang w:bidi="ar"/>
        </w:rPr>
      </w:pPr>
      <w:r>
        <w:rPr>
          <w:rFonts w:hint="eastAsia"/>
        </w:rPr>
        <w:t xml:space="preserve">                                  2020年11月16</w:t>
      </w:r>
      <w:r>
        <w:rPr>
          <w:rFonts w:hint="eastAsia" w:ascii="宋体" w:hAnsi="宋体" w:cs="宋体"/>
          <w:szCs w:val="28"/>
          <w:lang w:bidi="ar"/>
        </w:rPr>
        <w:t>日</w:t>
      </w:r>
    </w:p>
    <w:p>
      <w:pPr>
        <w:rPr>
          <w:rFonts w:hint="eastAsia" w:ascii="宋体" w:hAnsi="宋体" w:cs="宋体"/>
          <w:szCs w:val="28"/>
          <w:lang w:bidi="ar"/>
        </w:rPr>
      </w:pPr>
      <w:r>
        <w:rPr>
          <w:rFonts w:hint="eastAsia" w:ascii="宋体" w:hAnsi="宋体" w:cs="宋体"/>
          <w:szCs w:val="28"/>
          <w:lang w:bidi="ar"/>
        </w:rPr>
        <w:br w:type="page"/>
      </w:r>
    </w:p>
    <w:p>
      <w:pPr>
        <w:pStyle w:val="5"/>
        <w:bidi w:val="0"/>
      </w:pPr>
      <w:r>
        <w:t>苏州市工程造价管理处</w:t>
      </w:r>
    </w:p>
    <w:p>
      <w:pPr>
        <w:pStyle w:val="4"/>
        <w:bidi w:val="0"/>
        <w:rPr>
          <w:rFonts w:hint="eastAsia"/>
        </w:rPr>
      </w:pPr>
    </w:p>
    <w:p>
      <w:pPr>
        <w:pStyle w:val="4"/>
        <w:bidi w:val="0"/>
        <w:rPr>
          <w:rFonts w:hint="eastAsia"/>
        </w:rPr>
      </w:pPr>
      <w:bookmarkStart w:id="2588" w:name="_Toc3689"/>
      <w:r>
        <w:rPr>
          <w:rFonts w:hint="eastAsia"/>
        </w:rPr>
        <w:t>苏工价〔20</w:t>
      </w:r>
      <w:r>
        <w:t>2</w:t>
      </w:r>
      <w:r>
        <w:rPr>
          <w:rFonts w:hint="eastAsia"/>
        </w:rPr>
        <w:t>1〕7号</w:t>
      </w:r>
      <w:bookmarkEnd w:id="2588"/>
    </w:p>
    <w:p>
      <w:pPr>
        <w:rPr>
          <w:rFonts w:hint="eastAsia"/>
        </w:rPr>
      </w:pPr>
    </w:p>
    <w:p>
      <w:pPr>
        <w:pStyle w:val="3"/>
        <w:bidi w:val="0"/>
        <w:rPr>
          <w:rFonts w:hint="eastAsia"/>
        </w:rPr>
      </w:pPr>
    </w:p>
    <w:p>
      <w:pPr>
        <w:pStyle w:val="3"/>
        <w:bidi w:val="0"/>
        <w:rPr>
          <w:rFonts w:hint="eastAsia"/>
        </w:rPr>
      </w:pPr>
      <w:bookmarkStart w:id="2589" w:name="_Toc10006"/>
      <w:r>
        <w:rPr>
          <w:rFonts w:hint="eastAsia"/>
        </w:rPr>
        <w:t>关于开展绿色建材厂商价</w:t>
      </w:r>
      <w:bookmarkEnd w:id="2589"/>
    </w:p>
    <w:p>
      <w:pPr>
        <w:pStyle w:val="3"/>
        <w:bidi w:val="0"/>
      </w:pPr>
      <w:bookmarkStart w:id="2590" w:name="_Toc7909"/>
      <w:r>
        <w:rPr>
          <w:rFonts w:hint="eastAsia"/>
        </w:rPr>
        <w:t>信息发布工作的通知</w:t>
      </w:r>
      <w:bookmarkEnd w:id="2590"/>
    </w:p>
    <w:p>
      <w:pPr>
        <w:bidi w:val="0"/>
      </w:pPr>
      <w:r>
        <w:rPr>
          <w:rFonts w:hint="eastAsia"/>
        </w:rPr>
        <w:t xml:space="preserve"> </w:t>
      </w:r>
    </w:p>
    <w:p>
      <w:pPr>
        <w:bidi w:val="0"/>
        <w:ind w:left="0" w:leftChars="0" w:firstLine="0" w:firstLineChars="0"/>
      </w:pPr>
      <w:r>
        <w:rPr>
          <w:rFonts w:hint="eastAsia"/>
        </w:rPr>
        <w:t>各相关单位：</w:t>
      </w:r>
    </w:p>
    <w:p>
      <w:pPr>
        <w:bidi w:val="0"/>
      </w:pPr>
      <w:r>
        <w:rPr>
          <w:rFonts w:hint="eastAsia"/>
        </w:rPr>
        <w:t>为落实《国务院办公厅关于促进建筑业持续健康发展的意见》、《国务院办公厅转发住房城乡建设部关于完善质量保障体系提升建筑工程品质指导意见的通知》及江苏省定额总站对于开展绿色建材厂商价信息发布的要求，推进绿色建造工作，做好绿色建材价格信息服务，现就我市绿色建材厂商价信息发布相关事项通知如下：</w:t>
      </w:r>
    </w:p>
    <w:p>
      <w:pPr>
        <w:bidi w:val="0"/>
        <w:rPr>
          <w:b/>
          <w:bCs/>
        </w:rPr>
      </w:pPr>
      <w:r>
        <w:rPr>
          <w:rFonts w:hint="eastAsia"/>
          <w:b/>
          <w:bCs/>
        </w:rPr>
        <w:t>一、发布方式</w:t>
      </w:r>
    </w:p>
    <w:p>
      <w:pPr>
        <w:bidi w:val="0"/>
      </w:pPr>
      <w:r>
        <w:rPr>
          <w:rFonts w:hint="eastAsia"/>
        </w:rPr>
        <w:t>绿色建材厂商价采取品牌材料市场销售参考价格（含税含运费）的方式发布，由生产企业、销售厂商自愿报送，经苏州市工程造价管理处审核后，在江苏省工程造价信息网苏州造价动态栏目的每月建设工程价格信息中发布，供工程建设各方在工程计价时参考使用。</w:t>
      </w:r>
    </w:p>
    <w:p>
      <w:pPr>
        <w:bidi w:val="0"/>
        <w:rPr>
          <w:b/>
          <w:bCs/>
        </w:rPr>
      </w:pPr>
      <w:r>
        <w:rPr>
          <w:rFonts w:hint="eastAsia"/>
          <w:b/>
          <w:bCs/>
        </w:rPr>
        <w:t>二、发布范围</w:t>
      </w:r>
    </w:p>
    <w:p>
      <w:pPr>
        <w:bidi w:val="0"/>
      </w:pPr>
      <w:r>
        <w:t>1．</w:t>
      </w:r>
      <w:r>
        <w:rPr>
          <w:rFonts w:hint="eastAsia"/>
        </w:rPr>
        <w:t>按照《绿色产品标识使用管理办法》要求，对《绿色产品认证目录》内依据绿色产品评价标准和实施规则认证的建材产品；</w:t>
      </w:r>
    </w:p>
    <w:p>
      <w:pPr>
        <w:bidi w:val="0"/>
      </w:pPr>
      <w:r>
        <w:t>2．按照《绿色建材评价标识管理办法》认证的建材产品</w:t>
      </w:r>
      <w:r>
        <w:rPr>
          <w:rFonts w:hint="eastAsia"/>
        </w:rPr>
        <w:t>；</w:t>
      </w:r>
    </w:p>
    <w:p>
      <w:pPr>
        <w:bidi w:val="0"/>
      </w:pPr>
      <w:r>
        <w:t>3．苏州市工程</w:t>
      </w:r>
      <w:r>
        <w:rPr>
          <w:rFonts w:hint="eastAsia"/>
        </w:rPr>
        <w:t>造价管理处已发布信息价的材料除外。</w:t>
      </w:r>
    </w:p>
    <w:p>
      <w:pPr>
        <w:bidi w:val="0"/>
        <w:rPr>
          <w:b/>
          <w:bCs/>
        </w:rPr>
      </w:pPr>
      <w:r>
        <w:rPr>
          <w:rFonts w:hint="eastAsia"/>
          <w:b/>
          <w:bCs/>
        </w:rPr>
        <w:t>三、有关要求</w:t>
      </w:r>
    </w:p>
    <w:p>
      <w:pPr>
        <w:bidi w:val="0"/>
      </w:pPr>
      <w:r>
        <w:rPr>
          <w:rFonts w:hint="eastAsia"/>
        </w:rPr>
        <w:t>（一）企业报送资料</w:t>
      </w:r>
    </w:p>
    <w:p>
      <w:pPr>
        <w:bidi w:val="0"/>
      </w:pPr>
      <w:r>
        <w:t>1．</w:t>
      </w:r>
      <w:r>
        <w:rPr>
          <w:rFonts w:hint="eastAsia"/>
        </w:rPr>
        <w:t>营业执照（若为代理商，还需提供代理销售授权委托书）；</w:t>
      </w:r>
    </w:p>
    <w:p>
      <w:pPr>
        <w:bidi w:val="0"/>
      </w:pPr>
      <w:r>
        <w:t>2．</w:t>
      </w:r>
      <w:r>
        <w:rPr>
          <w:rFonts w:hint="eastAsia"/>
        </w:rPr>
        <w:t>产品证明资料（绿色建材评价标识证书、绿色建材产品认证证书、产品质量检测报告等）；</w:t>
      </w:r>
    </w:p>
    <w:p>
      <w:pPr>
        <w:bidi w:val="0"/>
      </w:pPr>
      <w:r>
        <w:t>3．</w:t>
      </w:r>
      <w:r>
        <w:rPr>
          <w:rFonts w:hint="eastAsia"/>
        </w:rPr>
        <w:t>产品业绩证明（近两年3至5个使用该产品的已竣工工程项目的工程竣工报告、销售合同、发票及销售清单、客户反馈评价等）；</w:t>
      </w:r>
    </w:p>
    <w:p>
      <w:pPr>
        <w:bidi w:val="0"/>
      </w:pPr>
      <w:r>
        <w:t>4．</w:t>
      </w:r>
      <w:r>
        <w:rPr>
          <w:rFonts w:hint="eastAsia"/>
        </w:rPr>
        <w:t>诚信报价承诺书（附件1）；</w:t>
      </w:r>
    </w:p>
    <w:p>
      <w:pPr>
        <w:bidi w:val="0"/>
      </w:pPr>
      <w:r>
        <w:t>5．</w:t>
      </w:r>
      <w:r>
        <w:rPr>
          <w:rFonts w:hint="eastAsia"/>
        </w:rPr>
        <w:t>绿色建材厂商价报价表（附件2）；</w:t>
      </w:r>
    </w:p>
    <w:p>
      <w:pPr>
        <w:bidi w:val="0"/>
      </w:pPr>
      <w:r>
        <w:t>6．</w:t>
      </w:r>
      <w:r>
        <w:rPr>
          <w:rFonts w:hint="eastAsia"/>
        </w:rPr>
        <w:t>产品价格信息发布后，每季度报送一次当期业绩证明和价格调整情况。</w:t>
      </w:r>
    </w:p>
    <w:p>
      <w:pPr>
        <w:bidi w:val="0"/>
      </w:pPr>
      <w:r>
        <w:rPr>
          <w:rFonts w:hint="eastAsia"/>
        </w:rPr>
        <w:t>（二）审核管理</w:t>
      </w:r>
    </w:p>
    <w:p>
      <w:pPr>
        <w:bidi w:val="0"/>
      </w:pPr>
      <w:r>
        <w:t>1．</w:t>
      </w:r>
      <w:r>
        <w:rPr>
          <w:rFonts w:hint="eastAsia"/>
        </w:rPr>
        <w:t>证明资料一般提供复印件，必要时核实原件后退还，复印件留存；</w:t>
      </w:r>
    </w:p>
    <w:p>
      <w:pPr>
        <w:bidi w:val="0"/>
      </w:pPr>
      <w:r>
        <w:t>2．</w:t>
      </w:r>
      <w:r>
        <w:rPr>
          <w:rFonts w:hint="eastAsia"/>
        </w:rPr>
        <w:t>苏州市工程造价管理处对企业所提交资料仅做形式审查，其真实性、合法性、有效性由报价企业负责；</w:t>
      </w:r>
    </w:p>
    <w:p>
      <w:pPr>
        <w:bidi w:val="0"/>
      </w:pPr>
      <w:r>
        <w:t>3．</w:t>
      </w:r>
      <w:r>
        <w:rPr>
          <w:rFonts w:hint="eastAsia"/>
        </w:rPr>
        <w:t>对于经审核发布后的绿色建材厂商价信息，将根据企业定期报送的业绩证明、价格调整等情况实行动态管理。</w:t>
      </w:r>
    </w:p>
    <w:p>
      <w:pPr>
        <w:bidi w:val="0"/>
      </w:pPr>
      <w:r>
        <w:rPr>
          <w:rFonts w:hint="eastAsia"/>
        </w:rPr>
        <w:t>联系人：杨旭，   联系电话：65182826。</w:t>
      </w:r>
    </w:p>
    <w:p>
      <w:pPr>
        <w:bidi w:val="0"/>
      </w:pPr>
    </w:p>
    <w:p>
      <w:pPr>
        <w:bidi w:val="0"/>
      </w:pPr>
      <w:r>
        <w:rPr>
          <w:rFonts w:hint="eastAsia"/>
        </w:rPr>
        <w:t>附件：1.诚信报价承诺书</w:t>
      </w:r>
    </w:p>
    <w:p>
      <w:pPr>
        <w:bidi w:val="0"/>
      </w:pPr>
      <w:r>
        <w:rPr>
          <w:rFonts w:hint="eastAsia"/>
        </w:rPr>
        <w:t xml:space="preserve">      2.绿色建材厂商价报价表</w:t>
      </w:r>
    </w:p>
    <w:p>
      <w:pPr>
        <w:bidi w:val="0"/>
      </w:pPr>
      <w:r>
        <w:rPr>
          <w:rFonts w:hint="eastAsia"/>
        </w:rPr>
        <w:t xml:space="preserve"> </w:t>
      </w:r>
    </w:p>
    <w:p>
      <w:pPr>
        <w:bidi w:val="0"/>
      </w:pPr>
      <w:r>
        <w:rPr>
          <w:rFonts w:hint="eastAsia"/>
        </w:rPr>
        <w:t xml:space="preserve"> </w:t>
      </w:r>
    </w:p>
    <w:p>
      <w:pPr>
        <w:bidi w:val="0"/>
        <w:ind w:firstLine="5566" w:firstLineChars="1988"/>
      </w:pPr>
      <w:r>
        <w:rPr>
          <w:rFonts w:hint="eastAsia"/>
        </w:rPr>
        <w:t>苏州市工程造价管理处</w:t>
      </w:r>
    </w:p>
    <w:p>
      <w:pPr>
        <w:bidi w:val="0"/>
        <w:ind w:firstLine="5983" w:firstLineChars="2137"/>
      </w:pPr>
      <w:r>
        <w:rPr>
          <w:rFonts w:hint="eastAsia"/>
        </w:rPr>
        <w:t>2021年9月14日</w:t>
      </w:r>
    </w:p>
    <w:p>
      <w:pPr>
        <w:rPr>
          <w:rFonts w:asciiTheme="majorEastAsia" w:hAnsiTheme="majorEastAsia" w:eastAsiaTheme="majorEastAsia"/>
        </w:rPr>
      </w:pPr>
    </w:p>
    <w:p>
      <w:pPr>
        <w:rPr>
          <w:rFonts w:asciiTheme="majorEastAsia" w:hAnsiTheme="majorEastAsia" w:eastAsiaTheme="majorEastAsia"/>
        </w:rPr>
      </w:pPr>
    </w:p>
    <w:p>
      <w:pPr>
        <w:keepNext/>
        <w:keepLines/>
        <w:spacing w:line="530" w:lineRule="exact"/>
        <w:ind w:left="0" w:leftChars="0" w:firstLine="0" w:firstLineChars="0"/>
        <w:outlineLvl w:val="0"/>
        <w:rPr>
          <w:rFonts w:hint="eastAsia" w:ascii="宋体" w:hAnsi="宋体" w:eastAsia="宋体" w:cs="宋体"/>
          <w:bCs/>
          <w:kern w:val="44"/>
          <w:sz w:val="28"/>
          <w:szCs w:val="28"/>
        </w:rPr>
      </w:pPr>
      <w:bookmarkStart w:id="2591" w:name="_Toc27621"/>
      <w:r>
        <w:rPr>
          <w:rFonts w:hint="eastAsia" w:ascii="宋体" w:hAnsi="宋体" w:eastAsia="宋体" w:cs="宋体"/>
          <w:bCs/>
          <w:kern w:val="44"/>
          <w:sz w:val="28"/>
          <w:szCs w:val="28"/>
        </w:rPr>
        <w:t>附件1</w:t>
      </w:r>
      <w:bookmarkEnd w:id="2591"/>
    </w:p>
    <w:p>
      <w:pPr>
        <w:pStyle w:val="3"/>
        <w:bidi w:val="0"/>
        <w:rPr>
          <w:b w:val="0"/>
          <w:bCs w:val="0"/>
        </w:rPr>
      </w:pPr>
      <w:bookmarkStart w:id="2592" w:name="_Toc14794"/>
      <w:r>
        <w:rPr>
          <w:rFonts w:hint="eastAsia"/>
          <w:b w:val="0"/>
          <w:bCs w:val="0"/>
        </w:rPr>
        <w:t>诚信报价承诺书</w:t>
      </w:r>
      <w:bookmarkEnd w:id="2592"/>
    </w:p>
    <w:p>
      <w:pPr>
        <w:spacing w:line="550" w:lineRule="exact"/>
        <w:rPr>
          <w:rFonts w:cs="Times New Roman" w:asciiTheme="majorEastAsia" w:hAnsiTheme="majorEastAsia" w:eastAsiaTheme="majorEastAsia"/>
          <w:color w:val="333333"/>
          <w:sz w:val="32"/>
          <w:szCs w:val="32"/>
        </w:rPr>
      </w:pPr>
    </w:p>
    <w:p>
      <w:pPr>
        <w:bidi w:val="0"/>
        <w:ind w:left="0" w:leftChars="0" w:firstLine="0" w:firstLineChars="0"/>
      </w:pPr>
      <w:r>
        <w:rPr>
          <w:rFonts w:hint="eastAsia"/>
        </w:rPr>
        <w:t>苏州市工程造价管理处：</w:t>
      </w:r>
    </w:p>
    <w:p>
      <w:pPr>
        <w:bidi w:val="0"/>
      </w:pPr>
      <w:r>
        <w:rPr>
          <w:rFonts w:hint="eastAsia"/>
        </w:rPr>
        <w:t>我单位就自愿报送绿色建材厂商价相关事宜作出以下承诺：</w:t>
      </w:r>
    </w:p>
    <w:p>
      <w:pPr>
        <w:bidi w:val="0"/>
      </w:pPr>
      <w:r>
        <w:rPr>
          <w:rFonts w:hint="eastAsia"/>
          <w:lang w:eastAsia="zh-CN"/>
        </w:rPr>
        <w:t>一、</w:t>
      </w:r>
      <w:r>
        <w:rPr>
          <w:rFonts w:hint="eastAsia"/>
        </w:rPr>
        <w:t>承诺人基本信息</w:t>
      </w:r>
    </w:p>
    <w:p>
      <w:pPr>
        <w:bidi w:val="0"/>
      </w:pPr>
      <w:r>
        <w:rPr>
          <w:rFonts w:hint="eastAsia"/>
        </w:rPr>
        <w:t>单位名称：               单位地址：</w:t>
      </w:r>
    </w:p>
    <w:p>
      <w:pPr>
        <w:bidi w:val="0"/>
      </w:pPr>
      <w:r>
        <w:rPr>
          <w:rFonts w:hint="eastAsia"/>
        </w:rPr>
        <w:t>授权经办人：             联系电话：</w:t>
      </w:r>
    </w:p>
    <w:p>
      <w:pPr>
        <w:bidi w:val="0"/>
      </w:pPr>
      <w:r>
        <w:rPr>
          <w:rFonts w:hint="eastAsia"/>
          <w:lang w:eastAsia="zh-CN"/>
        </w:rPr>
        <w:t>二、</w:t>
      </w:r>
      <w:r>
        <w:rPr>
          <w:rFonts w:hint="eastAsia"/>
        </w:rPr>
        <w:t>承诺事项</w:t>
      </w:r>
    </w:p>
    <w:p>
      <w:pPr>
        <w:bidi w:val="0"/>
      </w:pPr>
      <w:r>
        <w:rPr>
          <w:rFonts w:hint="eastAsia"/>
          <w:lang w:val="en-US" w:eastAsia="zh-CN"/>
        </w:rPr>
        <w:t xml:space="preserve">1. </w:t>
      </w:r>
      <w:r>
        <w:rPr>
          <w:rFonts w:hint="eastAsia"/>
        </w:rPr>
        <w:t>我单位已充分了解关于报送绿色建材厂商价相关文件要求，并自愿遵守。</w:t>
      </w:r>
    </w:p>
    <w:p>
      <w:pPr>
        <w:bidi w:val="0"/>
      </w:pPr>
      <w:r>
        <w:rPr>
          <w:rFonts w:hint="eastAsia"/>
          <w:lang w:val="en-US" w:eastAsia="zh-CN"/>
        </w:rPr>
        <w:t xml:space="preserve">2. </w:t>
      </w:r>
      <w:r>
        <w:rPr>
          <w:rFonts w:hint="eastAsia"/>
        </w:rPr>
        <w:t>我单位提交的所有资料均真实、有效，所有提供的价格均不超过苏州市工程实际成交价的10%，若超过10%，我单位授权苏州市工程造价管理处将价格调整到10%以内，并愿承担所有因失实而引发的各种后果。</w:t>
      </w:r>
    </w:p>
    <w:p>
      <w:pPr>
        <w:bidi w:val="0"/>
      </w:pPr>
      <w:r>
        <w:rPr>
          <w:rFonts w:hint="eastAsia"/>
          <w:lang w:val="en-US" w:eastAsia="zh-CN"/>
        </w:rPr>
        <w:t xml:space="preserve">3. </w:t>
      </w:r>
      <w:r>
        <w:rPr>
          <w:rFonts w:hint="eastAsia"/>
        </w:rPr>
        <w:t>我单位同意拟报价信息经你方审核后发布。在发布期间，如你方要求，我单位将及时提供产品的价格证明、绿色建材证明、业绩证明等资料。</w:t>
      </w:r>
    </w:p>
    <w:p>
      <w:pPr>
        <w:bidi w:val="0"/>
      </w:pPr>
      <w:r>
        <w:rPr>
          <w:rFonts w:hint="eastAsia"/>
          <w:lang w:val="en-US" w:eastAsia="zh-CN"/>
        </w:rPr>
        <w:t xml:space="preserve">4. </w:t>
      </w:r>
      <w:r>
        <w:rPr>
          <w:rFonts w:hint="eastAsia"/>
        </w:rPr>
        <w:t>如有违反上述承诺，我单位自愿放弃绿色建材厂商价发布资格。</w:t>
      </w:r>
    </w:p>
    <w:p>
      <w:pPr>
        <w:bidi w:val="0"/>
      </w:pPr>
    </w:p>
    <w:p>
      <w:pPr>
        <w:pStyle w:val="2"/>
        <w:numPr>
          <w:ilvl w:val="0"/>
          <w:numId w:val="0"/>
        </w:numPr>
        <w:ind w:left="420" w:leftChars="0"/>
      </w:pPr>
    </w:p>
    <w:p>
      <w:pPr>
        <w:bidi w:val="0"/>
        <w:ind w:firstLine="5983" w:firstLineChars="2137"/>
      </w:pPr>
      <w:r>
        <w:rPr>
          <w:rFonts w:hint="eastAsia"/>
        </w:rPr>
        <w:t>单位（盖章）：</w:t>
      </w:r>
    </w:p>
    <w:p>
      <w:pPr>
        <w:bidi w:val="0"/>
        <w:ind w:firstLine="6400" w:firstLineChars="2286"/>
        <w:rPr>
          <w:rFonts w:hint="eastAsia"/>
        </w:rPr>
      </w:pPr>
      <w:r>
        <w:rPr>
          <w:rFonts w:hint="eastAsia"/>
        </w:rPr>
        <w:t xml:space="preserve">年  </w:t>
      </w:r>
      <w:r>
        <w:rPr>
          <w:rFonts w:hint="eastAsia"/>
          <w:lang w:val="en-US" w:eastAsia="zh-CN"/>
        </w:rPr>
        <w:t xml:space="preserve">  </w:t>
      </w:r>
      <w:r>
        <w:rPr>
          <w:rFonts w:hint="eastAsia"/>
        </w:rPr>
        <w:t>月</w:t>
      </w:r>
      <w:r>
        <w:rPr>
          <w:rFonts w:hint="eastAsia"/>
          <w:lang w:val="en-US" w:eastAsia="zh-CN"/>
        </w:rPr>
        <w:t xml:space="preserve">  </w:t>
      </w:r>
      <w:r>
        <w:rPr>
          <w:rFonts w:hint="eastAsia"/>
        </w:rPr>
        <w:t xml:space="preserve">  日</w:t>
      </w:r>
    </w:p>
    <w:p>
      <w:pPr>
        <w:pStyle w:val="2"/>
        <w:widowControl w:val="0"/>
        <w:numPr>
          <w:ilvl w:val="0"/>
          <w:numId w:val="0"/>
        </w:numPr>
        <w:spacing w:line="520" w:lineRule="exact"/>
        <w:contextualSpacing/>
        <w:jc w:val="both"/>
        <w:rPr>
          <w:rFonts w:hint="eastAsia"/>
        </w:rPr>
      </w:pPr>
    </w:p>
    <w:p>
      <w:pPr>
        <w:pStyle w:val="2"/>
        <w:widowControl w:val="0"/>
        <w:numPr>
          <w:ilvl w:val="0"/>
          <w:numId w:val="0"/>
        </w:numPr>
        <w:spacing w:line="520" w:lineRule="exact"/>
        <w:contextualSpacing/>
        <w:jc w:val="both"/>
        <w:rPr>
          <w:rFonts w:hint="eastAsia"/>
        </w:rPr>
      </w:pPr>
    </w:p>
    <w:p>
      <w:pPr>
        <w:pStyle w:val="2"/>
        <w:widowControl w:val="0"/>
        <w:numPr>
          <w:ilvl w:val="0"/>
          <w:numId w:val="0"/>
        </w:numPr>
        <w:spacing w:line="520" w:lineRule="exact"/>
        <w:contextualSpacing/>
        <w:jc w:val="both"/>
        <w:rPr>
          <w:rFonts w:hint="eastAsia"/>
        </w:rPr>
      </w:pPr>
    </w:p>
    <w:p>
      <w:pPr>
        <w:pStyle w:val="2"/>
        <w:widowControl w:val="0"/>
        <w:numPr>
          <w:ilvl w:val="0"/>
          <w:numId w:val="0"/>
        </w:numPr>
        <w:spacing w:line="520" w:lineRule="exact"/>
        <w:contextualSpacing/>
        <w:jc w:val="both"/>
        <w:rPr>
          <w:rFonts w:hint="eastAsia"/>
        </w:rPr>
      </w:pPr>
    </w:p>
    <w:p>
      <w:pPr>
        <w:pStyle w:val="2"/>
        <w:widowControl w:val="0"/>
        <w:numPr>
          <w:ilvl w:val="0"/>
          <w:numId w:val="0"/>
        </w:numPr>
        <w:spacing w:line="520" w:lineRule="exact"/>
        <w:contextualSpacing/>
        <w:jc w:val="both"/>
        <w:rPr>
          <w:rFonts w:hint="eastAsia"/>
        </w:rPr>
      </w:pPr>
    </w:p>
    <w:p>
      <w:pPr>
        <w:pStyle w:val="2"/>
        <w:widowControl w:val="0"/>
        <w:numPr>
          <w:ilvl w:val="0"/>
          <w:numId w:val="0"/>
        </w:numPr>
        <w:spacing w:line="520" w:lineRule="exact"/>
        <w:contextualSpacing/>
        <w:jc w:val="both"/>
        <w:rPr>
          <w:rFonts w:hint="eastAsia" w:ascii="宋体" w:hAnsi="宋体" w:eastAsia="宋体" w:cs="宋体"/>
          <w:bCs/>
          <w:kern w:val="44"/>
          <w:sz w:val="28"/>
          <w:szCs w:val="28"/>
        </w:rPr>
      </w:pPr>
      <w:r>
        <w:rPr>
          <w:rFonts w:hint="eastAsia" w:ascii="宋体" w:hAnsi="宋体" w:eastAsia="宋体" w:cs="宋体"/>
          <w:bCs/>
          <w:kern w:val="44"/>
          <w:sz w:val="28"/>
          <w:szCs w:val="28"/>
        </w:rPr>
        <w:t>附件2</w:t>
      </w:r>
    </w:p>
    <w:p>
      <w:pPr>
        <w:pStyle w:val="2"/>
        <w:widowControl w:val="0"/>
        <w:numPr>
          <w:ilvl w:val="0"/>
          <w:numId w:val="0"/>
        </w:numPr>
        <w:spacing w:line="520" w:lineRule="exact"/>
        <w:contextualSpacing/>
        <w:jc w:val="both"/>
        <w:rPr>
          <w:rFonts w:hint="eastAsia" w:ascii="宋体" w:hAnsi="宋体" w:eastAsia="宋体" w:cs="宋体"/>
          <w:bCs/>
          <w:kern w:val="44"/>
          <w:sz w:val="28"/>
          <w:szCs w:val="28"/>
        </w:rPr>
      </w:pPr>
    </w:p>
    <w:p>
      <w:pPr>
        <w:pStyle w:val="3"/>
        <w:bidi w:val="0"/>
        <w:rPr>
          <w:rFonts w:hint="default"/>
          <w:b w:val="0"/>
          <w:bCs w:val="0"/>
        </w:rPr>
      </w:pPr>
      <w:bookmarkStart w:id="2593" w:name="_Toc31454"/>
      <w:r>
        <w:rPr>
          <w:rFonts w:hint="default"/>
          <w:b w:val="0"/>
          <w:bCs w:val="0"/>
        </w:rPr>
        <w:t>绿色建材厂商价报价表</w:t>
      </w:r>
      <w:bookmarkEnd w:id="2593"/>
    </w:p>
    <w:p>
      <w:pPr>
        <w:pStyle w:val="2"/>
        <w:widowControl w:val="0"/>
        <w:numPr>
          <w:ilvl w:val="0"/>
          <w:numId w:val="0"/>
        </w:numPr>
        <w:spacing w:line="520" w:lineRule="exact"/>
        <w:contextualSpacing/>
        <w:jc w:val="both"/>
        <w:rPr>
          <w:rFonts w:hint="default" w:ascii="Times New Roman" w:hAnsi="Times New Roman" w:cs="Times New Roman" w:eastAsiaTheme="majorEastAsia"/>
          <w:color w:val="000000"/>
          <w:kern w:val="0"/>
          <w:sz w:val="32"/>
          <w:szCs w:val="32"/>
        </w:rPr>
      </w:pPr>
    </w:p>
    <w:p>
      <w:pPr>
        <w:pStyle w:val="2"/>
        <w:widowControl w:val="0"/>
        <w:numPr>
          <w:ilvl w:val="0"/>
          <w:numId w:val="0"/>
        </w:numPr>
        <w:spacing w:line="520" w:lineRule="exact"/>
        <w:contextualSpacing/>
        <w:jc w:val="both"/>
        <w:rPr>
          <w:rFonts w:hint="default" w:ascii="Times New Roman" w:hAnsi="Times New Roman" w:cs="Times New Roman" w:eastAsiaTheme="majorEastAsia"/>
          <w:color w:val="000000"/>
          <w:kern w:val="0"/>
          <w:sz w:val="32"/>
          <w:szCs w:val="32"/>
        </w:rPr>
      </w:pPr>
      <w:r>
        <w:rPr>
          <w:rFonts w:hint="default" w:ascii="Times New Roman" w:hAnsi="Times New Roman" w:cs="Times New Roman" w:eastAsiaTheme="majorEastAsia"/>
          <w:color w:val="000000"/>
          <w:kern w:val="0"/>
          <w:sz w:val="32"/>
          <w:szCs w:val="32"/>
        </w:rPr>
        <w:t>报价单位（章）：                    报价时间：</w:t>
      </w:r>
    </w:p>
    <w:p>
      <w:pPr>
        <w:pStyle w:val="2"/>
        <w:widowControl w:val="0"/>
        <w:numPr>
          <w:ilvl w:val="0"/>
          <w:numId w:val="0"/>
        </w:numPr>
        <w:spacing w:line="520" w:lineRule="exact"/>
        <w:contextualSpacing/>
        <w:jc w:val="both"/>
        <w:rPr>
          <w:rFonts w:hint="eastAsia" w:ascii="Times New Roman" w:hAnsi="Times New Roman" w:cs="Times New Roman" w:eastAsiaTheme="majorEastAsia"/>
          <w:color w:val="000000"/>
          <w:kern w:val="0"/>
          <w:sz w:val="32"/>
          <w:szCs w:val="32"/>
        </w:rPr>
      </w:pPr>
      <w:r>
        <w:rPr>
          <w:rFonts w:hint="default" w:ascii="Times New Roman" w:hAnsi="Times New Roman" w:cs="Times New Roman" w:eastAsiaTheme="majorEastAsia"/>
          <w:color w:val="000000"/>
          <w:kern w:val="0"/>
          <w:sz w:val="32"/>
          <w:szCs w:val="32"/>
        </w:rPr>
        <w:t>联系人：                            联系电话：</w:t>
      </w:r>
    </w:p>
    <w:tbl>
      <w:tblPr>
        <w:tblStyle w:val="22"/>
        <w:tblW w:w="9390" w:type="dxa"/>
        <w:tblInd w:w="-222" w:type="dxa"/>
        <w:tblLayout w:type="fixed"/>
        <w:tblCellMar>
          <w:top w:w="0" w:type="dxa"/>
          <w:left w:w="108" w:type="dxa"/>
          <w:bottom w:w="0" w:type="dxa"/>
          <w:right w:w="108" w:type="dxa"/>
        </w:tblCellMar>
      </w:tblPr>
      <w:tblGrid>
        <w:gridCol w:w="900"/>
        <w:gridCol w:w="1373"/>
        <w:gridCol w:w="1625"/>
        <w:gridCol w:w="1070"/>
        <w:gridCol w:w="833"/>
        <w:gridCol w:w="1789"/>
        <w:gridCol w:w="816"/>
        <w:gridCol w:w="984"/>
      </w:tblGrid>
      <w:tr>
        <w:tblPrEx>
          <w:tblCellMar>
            <w:top w:w="0" w:type="dxa"/>
            <w:left w:w="108" w:type="dxa"/>
            <w:bottom w:w="0" w:type="dxa"/>
            <w:right w:w="108"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序号</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材料名称</w:t>
            </w: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型号及规格（参数）</w:t>
            </w: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kern w:val="0"/>
                <w:sz w:val="28"/>
                <w:szCs w:val="28"/>
              </w:rPr>
            </w:pPr>
            <w:r>
              <w:rPr>
                <w:rFonts w:hint="default" w:ascii="Times New Roman" w:hAnsi="Times New Roman" w:cs="Times New Roman" w:eastAsiaTheme="majorEastAsia"/>
                <w:b/>
                <w:bCs/>
                <w:color w:val="000000"/>
                <w:kern w:val="0"/>
                <w:sz w:val="28"/>
                <w:szCs w:val="28"/>
              </w:rPr>
              <w:t>品牌</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单位</w:t>
            </w: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含税单价（元）</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税率</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b/>
                <w:bCs/>
                <w:color w:val="000000"/>
                <w:sz w:val="28"/>
                <w:szCs w:val="28"/>
              </w:rPr>
            </w:pPr>
            <w:r>
              <w:rPr>
                <w:rFonts w:hint="default" w:ascii="Times New Roman" w:hAnsi="Times New Roman" w:cs="Times New Roman" w:eastAsiaTheme="majorEastAsia"/>
                <w:b/>
                <w:bCs/>
                <w:color w:val="000000"/>
                <w:kern w:val="0"/>
                <w:sz w:val="28"/>
                <w:szCs w:val="28"/>
              </w:rPr>
              <w:t>备注</w:t>
            </w: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2</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3</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4</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5</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6</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8"/>
                <w:szCs w:val="28"/>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7</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r>
      <w:tr>
        <w:tblPrEx>
          <w:tblCellMar>
            <w:top w:w="0" w:type="dxa"/>
            <w:left w:w="108" w:type="dxa"/>
            <w:bottom w:w="0" w:type="dxa"/>
            <w:right w:w="108" w:type="dxa"/>
          </w:tblCellMar>
        </w:tblPrEx>
        <w:trPr>
          <w:trHeight w:val="4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center"/>
              <w:rPr>
                <w:rFonts w:hint="default" w:ascii="Times New Roman" w:hAnsi="Times New Roman" w:cs="Times New Roman" w:eastAsiaTheme="majorEastAsia"/>
                <w:color w:val="000000"/>
                <w:sz w:val="28"/>
                <w:szCs w:val="28"/>
              </w:rPr>
            </w:pPr>
            <w:r>
              <w:rPr>
                <w:rFonts w:hint="default" w:ascii="Times New Roman" w:hAnsi="Times New Roman" w:cs="Times New Roman" w:eastAsiaTheme="majorEastAsia"/>
                <w:color w:val="000000"/>
                <w:kern w:val="0"/>
                <w:sz w:val="28"/>
                <w:szCs w:val="28"/>
              </w:rPr>
              <w:t>8</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1625"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1070"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1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ind w:firstLine="0" w:firstLineChars="0"/>
              <w:rPr>
                <w:rFonts w:hint="default" w:ascii="Times New Roman" w:hAnsi="Times New Roman" w:cs="Times New Roman" w:eastAsiaTheme="majorEastAsia"/>
                <w:color w:val="000000"/>
                <w:sz w:val="22"/>
              </w:rPr>
            </w:pPr>
          </w:p>
        </w:tc>
      </w:tr>
      <w:tr>
        <w:tblPrEx>
          <w:tblCellMar>
            <w:top w:w="0" w:type="dxa"/>
            <w:left w:w="108" w:type="dxa"/>
            <w:bottom w:w="0" w:type="dxa"/>
            <w:right w:w="108" w:type="dxa"/>
          </w:tblCellMar>
        </w:tblPrEx>
        <w:trPr>
          <w:trHeight w:val="1880" w:hRule="atLeast"/>
        </w:trPr>
        <w:tc>
          <w:tcPr>
            <w:tcW w:w="9390" w:type="dxa"/>
            <w:gridSpan w:val="8"/>
            <w:tcBorders>
              <w:top w:val="nil"/>
              <w:left w:val="nil"/>
              <w:bottom w:val="nil"/>
              <w:right w:val="nil"/>
            </w:tcBorders>
            <w:shd w:val="clear" w:color="auto" w:fill="auto"/>
            <w:vAlign w:val="center"/>
          </w:tcPr>
          <w:p>
            <w:pPr>
              <w:keepNext w:val="0"/>
              <w:keepLines w:val="0"/>
              <w:pageBreakBefore w:val="0"/>
              <w:widowControl/>
              <w:kinsoku/>
              <w:wordWrap/>
              <w:overflowPunct/>
              <w:topLinePunct w:val="0"/>
              <w:autoSpaceDE/>
              <w:autoSpaceDN/>
              <w:bidi w:val="0"/>
              <w:adjustRightInd/>
              <w:snapToGrid/>
              <w:ind w:firstLine="0" w:firstLineChars="0"/>
              <w:textAlignment w:val="center"/>
              <w:rPr>
                <w:rFonts w:hint="default" w:ascii="Times New Roman" w:hAnsi="Times New Roman" w:cs="Times New Roman" w:eastAsiaTheme="majorEastAsia"/>
                <w:color w:val="000000"/>
                <w:kern w:val="0"/>
                <w:sz w:val="24"/>
                <w:szCs w:val="24"/>
              </w:rPr>
            </w:pPr>
            <w:r>
              <w:rPr>
                <w:rFonts w:hint="default" w:ascii="Times New Roman" w:hAnsi="Times New Roman" w:cs="Times New Roman" w:eastAsiaTheme="majorEastAsia"/>
                <w:color w:val="000000"/>
                <w:kern w:val="0"/>
                <w:sz w:val="28"/>
                <w:szCs w:val="28"/>
              </w:rPr>
              <w:t>说明：</w:t>
            </w:r>
            <w:r>
              <w:rPr>
                <w:rFonts w:hint="default" w:ascii="Times New Roman" w:hAnsi="Times New Roman" w:cs="Times New Roman" w:eastAsiaTheme="majorEastAsia"/>
                <w:color w:val="000000"/>
                <w:kern w:val="0"/>
                <w:sz w:val="28"/>
                <w:szCs w:val="28"/>
              </w:rPr>
              <w:br w:type="textWrapping"/>
            </w:r>
            <w:r>
              <w:rPr>
                <w:rFonts w:hint="default" w:ascii="Times New Roman" w:hAnsi="Times New Roman" w:cs="Times New Roman" w:eastAsiaTheme="majorEastAsia"/>
                <w:color w:val="000000"/>
                <w:kern w:val="0"/>
                <w:sz w:val="28"/>
                <w:szCs w:val="28"/>
              </w:rPr>
              <w:t>1.</w:t>
            </w:r>
            <w:r>
              <w:rPr>
                <w:rFonts w:hint="eastAsia" w:eastAsia="宋体" w:cs="Times New Roman"/>
                <w:color w:val="000000"/>
                <w:kern w:val="0"/>
                <w:sz w:val="28"/>
                <w:szCs w:val="28"/>
                <w:lang w:val="en-US" w:eastAsia="zh-CN"/>
              </w:rPr>
              <w:t xml:space="preserve"> </w:t>
            </w:r>
            <w:r>
              <w:rPr>
                <w:rFonts w:hint="default" w:ascii="Times New Roman" w:hAnsi="Times New Roman" w:cs="Times New Roman" w:eastAsiaTheme="majorEastAsia"/>
                <w:color w:val="000000"/>
                <w:kern w:val="0"/>
                <w:sz w:val="28"/>
                <w:szCs w:val="28"/>
              </w:rPr>
              <w:t>表中价格为到工地价（或明确运距），有特殊费用组成的价格应备注说明；</w:t>
            </w:r>
            <w:r>
              <w:rPr>
                <w:rFonts w:hint="default" w:ascii="Times New Roman" w:hAnsi="Times New Roman" w:cs="Times New Roman" w:eastAsiaTheme="majorEastAsia"/>
                <w:color w:val="000000"/>
                <w:kern w:val="0"/>
                <w:sz w:val="28"/>
                <w:szCs w:val="28"/>
              </w:rPr>
              <w:br w:type="textWrapping"/>
            </w:r>
            <w:r>
              <w:rPr>
                <w:rFonts w:hint="default" w:ascii="Times New Roman" w:hAnsi="Times New Roman" w:cs="Times New Roman" w:eastAsiaTheme="majorEastAsia"/>
                <w:color w:val="000000"/>
                <w:kern w:val="0"/>
                <w:sz w:val="28"/>
                <w:szCs w:val="28"/>
              </w:rPr>
              <w:t>2.</w:t>
            </w:r>
            <w:r>
              <w:rPr>
                <w:rFonts w:hint="eastAsia" w:eastAsia="宋体" w:cs="Times New Roman"/>
                <w:color w:val="000000"/>
                <w:kern w:val="0"/>
                <w:sz w:val="28"/>
                <w:szCs w:val="28"/>
                <w:lang w:val="en-US" w:eastAsia="zh-CN"/>
              </w:rPr>
              <w:t xml:space="preserve"> </w:t>
            </w:r>
            <w:r>
              <w:rPr>
                <w:rFonts w:hint="default" w:ascii="Times New Roman" w:hAnsi="Times New Roman" w:cs="Times New Roman" w:eastAsiaTheme="majorEastAsia"/>
                <w:color w:val="000000"/>
                <w:kern w:val="0"/>
                <w:sz w:val="28"/>
                <w:szCs w:val="28"/>
              </w:rPr>
              <w:t>申请报送厂商价时一并提交本表电子版和纸质版（盖章）；</w:t>
            </w:r>
            <w:r>
              <w:rPr>
                <w:rFonts w:hint="default" w:ascii="Times New Roman" w:hAnsi="Times New Roman" w:cs="Times New Roman" w:eastAsiaTheme="majorEastAsia"/>
                <w:color w:val="000000"/>
                <w:kern w:val="0"/>
                <w:sz w:val="28"/>
                <w:szCs w:val="28"/>
              </w:rPr>
              <w:br w:type="textWrapping"/>
            </w:r>
            <w:r>
              <w:rPr>
                <w:rFonts w:hint="default" w:ascii="Times New Roman" w:hAnsi="Times New Roman" w:cs="Times New Roman" w:eastAsiaTheme="majorEastAsia"/>
                <w:color w:val="000000"/>
                <w:kern w:val="0"/>
                <w:sz w:val="28"/>
                <w:szCs w:val="28"/>
              </w:rPr>
              <w:t>3.</w:t>
            </w:r>
            <w:r>
              <w:rPr>
                <w:rFonts w:hint="eastAsia" w:eastAsia="宋体" w:cs="Times New Roman"/>
                <w:color w:val="000000"/>
                <w:kern w:val="0"/>
                <w:sz w:val="28"/>
                <w:szCs w:val="28"/>
                <w:lang w:val="en-US" w:eastAsia="zh-CN"/>
              </w:rPr>
              <w:t xml:space="preserve"> </w:t>
            </w:r>
            <w:r>
              <w:rPr>
                <w:rFonts w:hint="default" w:ascii="Times New Roman" w:hAnsi="Times New Roman" w:cs="Times New Roman" w:eastAsiaTheme="majorEastAsia"/>
                <w:color w:val="000000"/>
                <w:kern w:val="0"/>
                <w:sz w:val="28"/>
                <w:szCs w:val="28"/>
              </w:rPr>
              <w:t>拟报价格应贴近市场实际，对于虚报价格等不诚信行为，将不予发布。</w:t>
            </w:r>
          </w:p>
        </w:tc>
      </w:tr>
    </w:tbl>
    <w:p>
      <w:pPr>
        <w:pStyle w:val="2"/>
        <w:numPr>
          <w:ilvl w:val="0"/>
          <w:numId w:val="0"/>
        </w:numPr>
      </w:pPr>
    </w:p>
    <w:p>
      <w:pPr>
        <w:widowControl/>
        <w:ind w:firstLine="520"/>
        <w:jc w:val="left"/>
        <w:rPr>
          <w:rFonts w:ascii="仿宋" w:hAnsi="仿宋" w:eastAsia="仿宋"/>
          <w:spacing w:val="-10"/>
          <w:szCs w:val="32"/>
        </w:rPr>
      </w:pPr>
    </w:p>
    <w:sectPr>
      <w:footerReference r:id="rId24" w:type="default"/>
      <w:footerReference r:id="rId25" w:type="even"/>
      <w:pgSz w:w="11907" w:h="16840"/>
      <w:pgMar w:top="1587" w:right="1474" w:bottom="1474" w:left="1474" w:header="0" w:footer="975" w:gutter="0"/>
      <w:pgNumType w:fmt="decimal"/>
      <w:cols w:space="0" w:num="1"/>
      <w:docGrid w:linePitch="4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Arial Unicode MS"/>
    <w:panose1 w:val="03000509000000000000"/>
    <w:charset w:val="86"/>
    <w:family w:val="script"/>
    <w:pitch w:val="default"/>
    <w:sig w:usb0="00000000" w:usb1="00000000" w:usb2="00000000" w:usb3="00000000" w:csb0="00040000" w:csb1="00000000"/>
  </w:font>
  <w:font w:name="方正仿宋_GBK">
    <w:altName w:val="Arial Unicode MS"/>
    <w:panose1 w:val="03000509000000000000"/>
    <w:charset w:val="86"/>
    <w:family w:val="script"/>
    <w:pitch w:val="default"/>
    <w:sig w:usb0="00000000" w:usb1="0000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宋体ē,...">
    <w:altName w:val="宋体"/>
    <w:panose1 w:val="00000000000000000000"/>
    <w:charset w:val="86"/>
    <w:family w:val="roman"/>
    <w:pitch w:val="default"/>
    <w:sig w:usb0="00000000" w:usb1="00000000" w:usb2="00000010" w:usb3="00000000" w:csb0="00040000" w:csb1="00000000"/>
  </w:font>
  <w:font w:name="方正楷体_GBK">
    <w:altName w:val="Arial Unicode MS"/>
    <w:panose1 w:val="03000509000000000000"/>
    <w:charset w:val="86"/>
    <w:family w:val="script"/>
    <w:pitch w:val="default"/>
    <w:sig w:usb0="00000000" w:usb1="00000000" w:usb2="00000000" w:usb3="00000000" w:csb0="00040000" w:csb1="00000000"/>
  </w:font>
  <w:font w:name="方正黑体简体">
    <w:altName w:val="Arial Unicode MS"/>
    <w:panose1 w:val="02010601030101010101"/>
    <w:charset w:val="86"/>
    <w:family w:val="auto"/>
    <w:pitch w:val="default"/>
    <w:sig w:usb0="00000000" w:usb1="0000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方正小标宋简体">
    <w:altName w:val="Arial Unicode MS"/>
    <w:panose1 w:val="02010601030101010101"/>
    <w:charset w:val="86"/>
    <w:family w:val="script"/>
    <w:pitch w:val="default"/>
    <w:sig w:usb0="00000000" w:usb1="0000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方正黑体_GBK">
    <w:altName w:val="Arial Unicode MS"/>
    <w:panose1 w:val="03000509000000000000"/>
    <w:charset w:val="86"/>
    <w:family w:val="script"/>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w:rPr>
        <w:sz w:val="18"/>
      </w:rPr>
      <mc:AlternateContent>
        <mc:Choice Requires="wps">
          <w:drawing>
            <wp:anchor distT="0" distB="0" distL="114300" distR="114300" simplePos="0" relativeHeight="251703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t xml:space="preserve">— </w:t>
                          </w:r>
                          <w:r>
                            <w:fldChar w:fldCharType="begin"/>
                          </w:r>
                          <w:r>
                            <w:instrText xml:space="preserve"> PAGE  \* MERGEFORMAT </w:instrText>
                          </w:r>
                          <w:r>
                            <w:fldChar w:fldCharType="separate"/>
                          </w:r>
                          <w:r>
                            <w:t>206</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3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2PE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6/e5t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YJdjxNAIAAGUEAAAOAAAAAAAAAAEAIAAAAB8BAABkcnMvZTJvRG9jLnhtbFBL&#10;BQYAAAAABgAGAFkBAADFBQAAAAA=&#10;">
              <v:fill on="f" focussize="0,0"/>
              <v:stroke on="f" weight="0.5pt"/>
              <v:imagedata o:title=""/>
              <o:lock v:ext="edit" aspectratio="f"/>
              <v:textbox inset="0mm,0mm,0mm,0mm" style="mso-fit-shape-to-text:t;">
                <w:txbxContent>
                  <w:p>
                    <w:pPr>
                      <w:pStyle w:val="15"/>
                    </w:pPr>
                    <w:r>
                      <w:t xml:space="preserve">— </w:t>
                    </w:r>
                    <w:r>
                      <w:fldChar w:fldCharType="begin"/>
                    </w:r>
                    <w:r>
                      <w:instrText xml:space="preserve"> PAGE  \* MERGEFORMAT </w:instrText>
                    </w:r>
                    <w:r>
                      <w:fldChar w:fldCharType="separate"/>
                    </w:r>
                    <w:r>
                      <w:t>206</w:t>
                    </w:r>
                    <w:r>
                      <w:fldChar w:fldCharType="end"/>
                    </w:r>
                    <w: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pPr>
                          <w:r>
                            <w:t xml:space="preserve">— </w:t>
                          </w:r>
                          <w:r>
                            <w:fldChar w:fldCharType="begin"/>
                          </w:r>
                          <w:r>
                            <w:instrText xml:space="preserve"> PAGE  \* MERGEFORMAT </w:instrText>
                          </w:r>
                          <w:r>
                            <w:fldChar w:fldCharType="separate"/>
                          </w:r>
                          <w:r>
                            <w:t>221</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02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3P/FAt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lhLNFEp++vH9&#10;9PPh9OsbiYeQqLV+hsh7i9jQvTMdwodzj8PIvKucil9wIvBD4ONFYNEFwuOl6WQ6zeHi8A0b4GeP&#10;163z4b0wikSjoA4VTMKyw8aHPnQIidm0WTdSpipKTdqCXr1+k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3P/FAtAgAAWQQAAA4AAAAAAAAAAQAgAAAAHwEAAGRycy9lMm9Eb2MueG1sUEsFBgAAAAAG&#10;AAYAWQEAAL4FAAAAAA==&#10;">
              <v:fill on="f" focussize="0,0"/>
              <v:stroke on="f" weight="0.5pt"/>
              <v:imagedata o:title=""/>
              <o:lock v:ext="edit" aspectratio="f"/>
              <v:textbox inset="0mm,0mm,0mm,0mm" style="mso-fit-shape-to-text:t;">
                <w:txbxContent>
                  <w:p>
                    <w:pPr>
                      <w:pStyle w:val="15"/>
                      <w:ind w:firstLine="360"/>
                    </w:pPr>
                    <w:r>
                      <w:t xml:space="preserve">— </w:t>
                    </w:r>
                    <w:r>
                      <w:fldChar w:fldCharType="begin"/>
                    </w:r>
                    <w:r>
                      <w:instrText xml:space="preserve"> PAGE  \* MERGEFORMAT </w:instrText>
                    </w:r>
                    <w:r>
                      <w:fldChar w:fldCharType="separate"/>
                    </w:r>
                    <w:r>
                      <w:t>221</w:t>
                    </w:r>
                    <w:r>
                      <w:fldChar w:fldCharType="end"/>
                    </w:r>
                    <w:r>
                      <w:t xml:space="preserve"> —</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480"/>
      <w:jc w:val="center"/>
      <w:rPr>
        <w:rFonts w:ascii="宋体" w:hAnsi="宋体" w:eastAsia="宋体"/>
        <w:sz w:val="24"/>
        <w:szCs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480"/>
                            <w:jc w:val="center"/>
                          </w:pPr>
                          <w:r>
                            <w:t xml:space="preserve">— </w:t>
                          </w:r>
                          <w:r>
                            <w:fldChar w:fldCharType="begin"/>
                          </w:r>
                          <w:r>
                            <w:instrText xml:space="preserve"> PAGE  \* MERGEFORMAT </w:instrText>
                          </w:r>
                          <w:r>
                            <w:fldChar w:fldCharType="separate"/>
                          </w:r>
                          <w:r>
                            <w:t>257</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gRLJYt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eTG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eg3y8JOP1ge&#10;oaN43q6PAQImXaMonRK9Vui4VJl+OmJL/7lPUY9/hN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gRLJYtAgAAWQQAAA4AAAAAAAAAAQAgAAAAHwEAAGRycy9lMm9Eb2MueG1sUEsFBgAAAAAG&#10;AAYAWQEAAL4FAAAAAA==&#10;">
              <v:fill on="f" focussize="0,0"/>
              <v:stroke on="f" weight="0.5pt"/>
              <v:imagedata o:title=""/>
              <o:lock v:ext="edit" aspectratio="f"/>
              <v:textbox inset="0mm,0mm,0mm,0mm" style="mso-fit-shape-to-text:t;">
                <w:txbxContent>
                  <w:p>
                    <w:pPr>
                      <w:pStyle w:val="15"/>
                      <w:ind w:firstLine="480"/>
                      <w:jc w:val="center"/>
                    </w:pPr>
                    <w:r>
                      <w:t xml:space="preserve">— </w:t>
                    </w:r>
                    <w:r>
                      <w:fldChar w:fldCharType="begin"/>
                    </w:r>
                    <w:r>
                      <w:instrText xml:space="preserve"> PAGE  \* MERGEFORMAT </w:instrText>
                    </w:r>
                    <w:r>
                      <w:fldChar w:fldCharType="separate"/>
                    </w:r>
                    <w:r>
                      <w:t>257</w:t>
                    </w:r>
                    <w:r>
                      <w:fldChar w:fldCharType="end"/>
                    </w:r>
                    <w: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ind w:firstLine="360"/>
      <w:rPr>
        <w:rStyle w:val="26"/>
      </w:rPr>
    </w:pPr>
    <w:r>
      <w:rPr>
        <w:rStyle w:val="26"/>
      </w:rPr>
      <w:fldChar w:fldCharType="begin"/>
    </w:r>
    <w:r>
      <w:rPr>
        <w:rStyle w:val="26"/>
      </w:rPr>
      <w:instrText xml:space="preserve">PAGE  </w:instrText>
    </w:r>
    <w:r>
      <w:rPr>
        <w:rStyle w:val="26"/>
      </w:rPr>
      <w:fldChar w:fldCharType="end"/>
    </w:r>
  </w:p>
  <w:p>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ind w:firstLine="360"/>
      <w:rPr>
        <w:rStyle w:val="26"/>
      </w:rPr>
    </w:pPr>
    <w:r>
      <w:rPr>
        <w:rStyle w:val="26"/>
      </w:rPr>
      <w:fldChar w:fldCharType="begin"/>
    </w:r>
    <w:r>
      <w:rPr>
        <w:rStyle w:val="26"/>
      </w:rPr>
      <w:instrText xml:space="preserve">PAGE  </w:instrText>
    </w:r>
    <w:r>
      <w:rPr>
        <w:rStyle w:val="26"/>
      </w:rPr>
      <w:fldChar w:fldCharType="end"/>
    </w:r>
  </w:p>
  <w:p>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w:rPr>
        <w:sz w:val="18"/>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gfQw0AgAAZQQAAA4AAABkcnMvZTJvRG9jLnhtbK1UzY7TMBC+I/EO&#10;lu80adGu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99e5d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oH0MNAIAAGUEAAAOAAAAAAAAAAEAIAAAAB8BAABkcnMvZTJvRG9jLnhtbFBL&#10;BQYAAAAABgAGAFkBAADFBQAAAAA=&#10;">
              <v:fill on="f" focussize="0,0"/>
              <v:stroke on="f" weight="0.5pt"/>
              <v:imagedata o:title=""/>
              <o:lock v:ext="edit" aspectratio="f"/>
              <v:textbox inset="0mm,0mm,0mm,0mm" style="mso-fit-shape-to-text:t;">
                <w:txbxContent>
                  <w:p>
                    <w:pPr>
                      <w:pStyle w:val="15"/>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w:t>
                    </w:r>
                    <w:r>
                      <w:rPr>
                        <w:sz w:val="21"/>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w:rPr>
        <w:sz w:val="18"/>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ZRm0zAgAAZ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ZRm0zAgAAZQQAAA4AAAAAAAAAAQAgAAAAHwEAAGRycy9lMm9Eb2MueG1sUEsF&#10;BgAAAAAGAAYAWQEAAMQFAAAAAA==&#10;">
              <v:fill on="f" focussize="0,0"/>
              <v:stroke on="f" weight="0.5pt"/>
              <v:imagedata o:title=""/>
              <o:lock v:ext="edit" aspectratio="f"/>
              <v:textbox inset="0mm,0mm,0mm,0mm" style="mso-fit-shape-to-text:t;">
                <w:txbxContent>
                  <w:p>
                    <w:pPr>
                      <w:pStyle w:val="15"/>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480"/>
                            <w:rPr>
                              <w:rStyle w:val="26"/>
                              <w:sz w:val="24"/>
                              <w:szCs w:val="24"/>
                            </w:rPr>
                          </w:pPr>
                          <w:r>
                            <w:rPr>
                              <w:rStyle w:val="26"/>
                              <w:sz w:val="24"/>
                              <w:szCs w:val="24"/>
                            </w:rPr>
                            <w:t xml:space="preserve">— </w:t>
                          </w:r>
                          <w:r>
                            <w:rPr>
                              <w:rStyle w:val="26"/>
                              <w:sz w:val="24"/>
                              <w:szCs w:val="24"/>
                            </w:rPr>
                            <w:fldChar w:fldCharType="begin"/>
                          </w:r>
                          <w:r>
                            <w:rPr>
                              <w:rStyle w:val="26"/>
                              <w:sz w:val="24"/>
                              <w:szCs w:val="24"/>
                            </w:rPr>
                            <w:instrText xml:space="preserve"> PAGE  \* MERGEFORMAT </w:instrText>
                          </w:r>
                          <w:r>
                            <w:rPr>
                              <w:rStyle w:val="26"/>
                              <w:sz w:val="24"/>
                              <w:szCs w:val="24"/>
                            </w:rPr>
                            <w:fldChar w:fldCharType="separate"/>
                          </w:r>
                          <w:r>
                            <w:rPr>
                              <w:rStyle w:val="26"/>
                              <w:sz w:val="24"/>
                              <w:szCs w:val="24"/>
                            </w:rPr>
                            <w:t>2</w:t>
                          </w:r>
                          <w:r>
                            <w:rPr>
                              <w:rStyle w:val="26"/>
                              <w:sz w:val="24"/>
                              <w:szCs w:val="24"/>
                            </w:rPr>
                            <w:fldChar w:fldCharType="end"/>
                          </w:r>
                          <w:r>
                            <w:rPr>
                              <w:rStyle w:val="26"/>
                              <w:sz w:val="24"/>
                              <w:szCs w:val="24"/>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v8lcEt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lhLNFEp++vH9&#10;9PPh9OsbiYeQqLV+hsh7i9jQvTMdwodzj8PIvKucil9wIvBD4ONFYNEFwuOl6WQ6zeHi8A0b4GeP&#10;163z4b0wikSjoA4VTMKyw8aHPnQIidm0WTdSpipKTdqCXr1+k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v8lcEtAgAAWQQAAA4AAAAAAAAAAQAgAAAAHwEAAGRycy9lMm9Eb2MueG1sUEsFBgAAAAAG&#10;AAYAWQEAAL4FAAAAAA==&#10;">
              <v:fill on="f" focussize="0,0"/>
              <v:stroke on="f" weight="0.5pt"/>
              <v:imagedata o:title=""/>
              <o:lock v:ext="edit" aspectratio="f"/>
              <v:textbox inset="0mm,0mm,0mm,0mm" style="mso-fit-shape-to-text:t;">
                <w:txbxContent>
                  <w:p>
                    <w:pPr>
                      <w:pStyle w:val="15"/>
                      <w:ind w:firstLine="480"/>
                      <w:rPr>
                        <w:rStyle w:val="26"/>
                        <w:sz w:val="24"/>
                        <w:szCs w:val="24"/>
                      </w:rPr>
                    </w:pPr>
                    <w:r>
                      <w:rPr>
                        <w:rStyle w:val="26"/>
                        <w:sz w:val="24"/>
                        <w:szCs w:val="24"/>
                      </w:rPr>
                      <w:t xml:space="preserve">— </w:t>
                    </w:r>
                    <w:r>
                      <w:rPr>
                        <w:rStyle w:val="26"/>
                        <w:sz w:val="24"/>
                        <w:szCs w:val="24"/>
                      </w:rPr>
                      <w:fldChar w:fldCharType="begin"/>
                    </w:r>
                    <w:r>
                      <w:rPr>
                        <w:rStyle w:val="26"/>
                        <w:sz w:val="24"/>
                        <w:szCs w:val="24"/>
                      </w:rPr>
                      <w:instrText xml:space="preserve"> PAGE  \* MERGEFORMAT </w:instrText>
                    </w:r>
                    <w:r>
                      <w:rPr>
                        <w:rStyle w:val="26"/>
                        <w:sz w:val="24"/>
                        <w:szCs w:val="24"/>
                      </w:rPr>
                      <w:fldChar w:fldCharType="separate"/>
                    </w:r>
                    <w:r>
                      <w:rPr>
                        <w:rStyle w:val="26"/>
                        <w:sz w:val="24"/>
                        <w:szCs w:val="24"/>
                      </w:rPr>
                      <w:t>2</w:t>
                    </w:r>
                    <w:r>
                      <w:rPr>
                        <w:rStyle w:val="26"/>
                        <w:sz w:val="24"/>
                        <w:szCs w:val="24"/>
                      </w:rPr>
                      <w:fldChar w:fldCharType="end"/>
                    </w:r>
                    <w:r>
                      <w:rPr>
                        <w:rStyle w:val="26"/>
                        <w:sz w:val="24"/>
                        <w:szCs w:val="24"/>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560"/>
      <w:jc w:val="center"/>
      <w:rPr>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480"/>
                            <w:jc w:val="center"/>
                          </w:pPr>
                          <w:r>
                            <w:t xml:space="preserve">— </w:t>
                          </w:r>
                          <w:r>
                            <w:fldChar w:fldCharType="begin"/>
                          </w:r>
                          <w:r>
                            <w:instrText xml:space="preserve"> PAGE  \* MERGEFORMAT </w:instrText>
                          </w:r>
                          <w:r>
                            <w:fldChar w:fldCharType="separate"/>
                          </w:r>
                          <w:r>
                            <w:t>53</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rxWHEu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5IoSzRRKfv7x&#10;/fzz9/nXNxIPIVFj/RyRDxaxoX1nWjTOcO5xGJm3pVPxC04Efgh8uggs2kB4vDSbzmZjuDh8wwb4&#10;2dN163x4L4wi0cipQwWTsOy49aELHUJiNm02tZSpilKTJqfXb6/G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68VhxLgIAAFkEAAAOAAAAAAAAAAEAIAAAAB8BAABkcnMvZTJvRG9jLnhtbFBLBQYAAAAA&#10;BgAGAFkBAAC/BQAAAAA=&#10;">
              <v:fill on="f" focussize="0,0"/>
              <v:stroke on="f" weight="0.5pt"/>
              <v:imagedata o:title=""/>
              <o:lock v:ext="edit" aspectratio="f"/>
              <v:textbox inset="0mm,0mm,0mm,0mm" style="mso-fit-shape-to-text:t;">
                <w:txbxContent>
                  <w:p>
                    <w:pPr>
                      <w:pStyle w:val="15"/>
                      <w:ind w:firstLine="480"/>
                      <w:jc w:val="center"/>
                    </w:pPr>
                    <w:r>
                      <w:t xml:space="preserve">— </w:t>
                    </w:r>
                    <w:r>
                      <w:fldChar w:fldCharType="begin"/>
                    </w:r>
                    <w:r>
                      <w:instrText xml:space="preserve"> PAGE  \* MERGEFORMAT </w:instrText>
                    </w:r>
                    <w:r>
                      <w:fldChar w:fldCharType="separate"/>
                    </w:r>
                    <w:r>
                      <w:t>53</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ind w:firstLine="360"/>
      <w:rPr>
        <w:rStyle w:val="26"/>
      </w:rPr>
    </w:pPr>
    <w:r>
      <w:fldChar w:fldCharType="begin"/>
    </w:r>
    <w:r>
      <w:rPr>
        <w:rStyle w:val="26"/>
      </w:rPr>
      <w:instrText xml:space="preserve">PAGE  </w:instrText>
    </w:r>
    <w:r>
      <w:fldChar w:fldCharType="end"/>
    </w:r>
  </w:p>
  <w:p>
    <w:pPr>
      <w:pStyle w:val="15"/>
      <w:ind w:firstLine="560"/>
      <w:rPr>
        <w:sz w:val="28"/>
        <w:szCs w:val="28"/>
      </w:rPr>
    </w:pPr>
    <w:r>
      <w:rPr>
        <w:sz w:val="28"/>
        <w:szCs w:val="28"/>
      </w:rPr>
      <w:t>--</w:t>
    </w:r>
  </w:p>
  <w:p>
    <w:pPr>
      <w:ind w:firstLine="560"/>
      <w:rPr>
        <w:szCs w:val="2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mc:AlternateContent>
        <mc:Choice Requires="wps">
          <w:drawing>
            <wp:anchor distT="0" distB="0" distL="114300" distR="114300" simplePos="0" relativeHeight="251701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pPr>
                          <w:r>
                            <w:t xml:space="preserve">— </w:t>
                          </w:r>
                          <w:r>
                            <w:fldChar w:fldCharType="begin"/>
                          </w:r>
                          <w:r>
                            <w:instrText xml:space="preserve"> PAGE  \* MERGEFORMAT </w:instrText>
                          </w:r>
                          <w:r>
                            <w:fldChar w:fldCharType="separate"/>
                          </w:r>
                          <w:r>
                            <w:t>132</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1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sfeoYt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sfeoYtAgAAWQQAAA4AAAAAAAAAAQAgAAAAHwEAAGRycy9lMm9Eb2MueG1sUEsFBgAAAAAG&#10;AAYAWQEAAL4FAAAAAA==&#10;">
              <v:fill on="f" focussize="0,0"/>
              <v:stroke on="f" weight="0.5pt"/>
              <v:imagedata o:title=""/>
              <o:lock v:ext="edit" aspectratio="f"/>
              <v:textbox inset="0mm,0mm,0mm,0mm" style="mso-fit-shape-to-text:t;">
                <w:txbxContent>
                  <w:p>
                    <w:pPr>
                      <w:pStyle w:val="15"/>
                      <w:ind w:firstLine="360"/>
                    </w:pPr>
                    <w:r>
                      <w:t xml:space="preserve">— </w:t>
                    </w:r>
                    <w:r>
                      <w:fldChar w:fldCharType="begin"/>
                    </w:r>
                    <w:r>
                      <w:instrText xml:space="preserve"> PAGE  \* MERGEFORMAT </w:instrText>
                    </w:r>
                    <w:r>
                      <w:fldChar w:fldCharType="separate"/>
                    </w:r>
                    <w:r>
                      <w:t>132</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C89B09"/>
    <w:multiLevelType w:val="singleLevel"/>
    <w:tmpl w:val="87C89B09"/>
    <w:lvl w:ilvl="0" w:tentative="0">
      <w:start w:val="1"/>
      <w:numFmt w:val="chineseCounting"/>
      <w:suff w:val="nothing"/>
      <w:lvlText w:val="%1、"/>
      <w:lvlJc w:val="left"/>
      <w:rPr>
        <w:rFonts w:hint="eastAsia"/>
      </w:rPr>
    </w:lvl>
  </w:abstractNum>
  <w:abstractNum w:abstractNumId="1">
    <w:nsid w:val="E3B4F377"/>
    <w:multiLevelType w:val="singleLevel"/>
    <w:tmpl w:val="E3B4F377"/>
    <w:lvl w:ilvl="0" w:tentative="0">
      <w:start w:val="1"/>
      <w:numFmt w:val="chineseCounting"/>
      <w:suff w:val="nothing"/>
      <w:lvlText w:val="%1、"/>
      <w:lvlJc w:val="left"/>
      <w:rPr>
        <w:rFonts w:hint="eastAsia"/>
      </w:rPr>
    </w:lvl>
  </w:abstractNum>
  <w:abstractNum w:abstractNumId="2">
    <w:nsid w:val="FFFFFF83"/>
    <w:multiLevelType w:val="singleLevel"/>
    <w:tmpl w:val="FFFFFF83"/>
    <w:lvl w:ilvl="0" w:tentative="0">
      <w:start w:val="1"/>
      <w:numFmt w:val="bullet"/>
      <w:pStyle w:val="2"/>
      <w:lvlText w:val=""/>
      <w:lvlJc w:val="left"/>
      <w:pPr>
        <w:tabs>
          <w:tab w:val="left" w:pos="780"/>
        </w:tabs>
        <w:ind w:left="780" w:leftChars="200" w:hanging="360" w:hangingChars="200"/>
      </w:pPr>
      <w:rPr>
        <w:rFonts w:hint="default" w:ascii="Wingdings" w:hAnsi="Wingdings"/>
      </w:rPr>
    </w:lvl>
  </w:abstractNum>
  <w:abstractNum w:abstractNumId="3">
    <w:nsid w:val="504EEEED"/>
    <w:multiLevelType w:val="singleLevel"/>
    <w:tmpl w:val="504EEEED"/>
    <w:lvl w:ilvl="0" w:tentative="0">
      <w:start w:val="1"/>
      <w:numFmt w:val="chineseCounting"/>
      <w:suff w:val="nothing"/>
      <w:lvlText w:val="%1、"/>
      <w:lvlJc w:val="left"/>
      <w:rPr>
        <w:rFonts w:hint="eastAsia"/>
      </w:rPr>
    </w:lvl>
  </w:abstractNum>
  <w:abstractNum w:abstractNumId="4">
    <w:nsid w:val="55F91CC4"/>
    <w:multiLevelType w:val="singleLevel"/>
    <w:tmpl w:val="55F91CC4"/>
    <w:lvl w:ilvl="0" w:tentative="0">
      <w:start w:val="1"/>
      <w:numFmt w:val="chineseCounting"/>
      <w:suff w:val="nothing"/>
      <w:lvlText w:val="%1、"/>
      <w:lvlJc w:val="left"/>
      <w:rPr>
        <w:rFonts w:hint="eastAsia"/>
      </w:rPr>
    </w:lvl>
  </w:abstractNum>
  <w:abstractNum w:abstractNumId="5">
    <w:nsid w:val="63EE5C1C"/>
    <w:multiLevelType w:val="singleLevel"/>
    <w:tmpl w:val="63EE5C1C"/>
    <w:lvl w:ilvl="0" w:tentative="0">
      <w:start w:val="1"/>
      <w:numFmt w:val="decimal"/>
      <w:lvlText w:val="%1."/>
      <w:lvlJc w:val="left"/>
      <w:pPr>
        <w:tabs>
          <w:tab w:val="left" w:pos="312"/>
        </w:tabs>
      </w:pPr>
    </w:lvl>
  </w:abstractNum>
  <w:abstractNum w:abstractNumId="6">
    <w:nsid w:val="76F3E62D"/>
    <w:multiLevelType w:val="singleLevel"/>
    <w:tmpl w:val="76F3E62D"/>
    <w:lvl w:ilvl="0" w:tentative="0">
      <w:start w:val="2"/>
      <w:numFmt w:val="decimal"/>
      <w:suff w:val="nothing"/>
      <w:lvlText w:val="%1、"/>
      <w:lvlJc w:val="left"/>
    </w:lvl>
  </w:abstractNum>
  <w:num w:numId="1">
    <w:abstractNumId w:val="2"/>
  </w:num>
  <w:num w:numId="2">
    <w:abstractNumId w:val="1"/>
  </w:num>
  <w:num w:numId="3">
    <w:abstractNumId w:val="6"/>
  </w:num>
  <w:num w:numId="4">
    <w:abstractNumId w:val="0"/>
  </w:num>
  <w:num w:numId="5">
    <w:abstractNumId w:val="5"/>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4E73"/>
    <w:rsid w:val="00042E25"/>
    <w:rsid w:val="00115499"/>
    <w:rsid w:val="001708D5"/>
    <w:rsid w:val="00186DD6"/>
    <w:rsid w:val="001C2E95"/>
    <w:rsid w:val="00205988"/>
    <w:rsid w:val="00295254"/>
    <w:rsid w:val="00303521"/>
    <w:rsid w:val="00322A82"/>
    <w:rsid w:val="003455F0"/>
    <w:rsid w:val="003842B3"/>
    <w:rsid w:val="003B106A"/>
    <w:rsid w:val="00421135"/>
    <w:rsid w:val="004A22A5"/>
    <w:rsid w:val="00560349"/>
    <w:rsid w:val="005A7366"/>
    <w:rsid w:val="006479C8"/>
    <w:rsid w:val="0066727A"/>
    <w:rsid w:val="006D44B2"/>
    <w:rsid w:val="006E338A"/>
    <w:rsid w:val="007D0B7E"/>
    <w:rsid w:val="008170F1"/>
    <w:rsid w:val="00824E73"/>
    <w:rsid w:val="0087006C"/>
    <w:rsid w:val="009B209E"/>
    <w:rsid w:val="009F3987"/>
    <w:rsid w:val="00A1561B"/>
    <w:rsid w:val="00A24476"/>
    <w:rsid w:val="00A95CBC"/>
    <w:rsid w:val="00A96BF1"/>
    <w:rsid w:val="00B754AB"/>
    <w:rsid w:val="00BA0FE4"/>
    <w:rsid w:val="00C41F4D"/>
    <w:rsid w:val="00C73507"/>
    <w:rsid w:val="00CB3A49"/>
    <w:rsid w:val="00CC637A"/>
    <w:rsid w:val="00CC6D79"/>
    <w:rsid w:val="00CF40E0"/>
    <w:rsid w:val="00CF5C66"/>
    <w:rsid w:val="00D02701"/>
    <w:rsid w:val="00D45C7B"/>
    <w:rsid w:val="00EC359B"/>
    <w:rsid w:val="023D7F56"/>
    <w:rsid w:val="05E80976"/>
    <w:rsid w:val="07F130A0"/>
    <w:rsid w:val="104F17F9"/>
    <w:rsid w:val="138C50AA"/>
    <w:rsid w:val="13BB777D"/>
    <w:rsid w:val="16AD1A48"/>
    <w:rsid w:val="16B44623"/>
    <w:rsid w:val="1AB3569C"/>
    <w:rsid w:val="1B59750E"/>
    <w:rsid w:val="1CCD586E"/>
    <w:rsid w:val="1EBC02A5"/>
    <w:rsid w:val="21145B4D"/>
    <w:rsid w:val="213759B3"/>
    <w:rsid w:val="216A2192"/>
    <w:rsid w:val="21826BD4"/>
    <w:rsid w:val="22574E59"/>
    <w:rsid w:val="242A1CD9"/>
    <w:rsid w:val="28E14060"/>
    <w:rsid w:val="29DE5993"/>
    <w:rsid w:val="2CE82E04"/>
    <w:rsid w:val="2EA36343"/>
    <w:rsid w:val="2EC320F2"/>
    <w:rsid w:val="31BA40EA"/>
    <w:rsid w:val="31D64E09"/>
    <w:rsid w:val="3317518B"/>
    <w:rsid w:val="360D15DD"/>
    <w:rsid w:val="3A9215FC"/>
    <w:rsid w:val="3D177B0E"/>
    <w:rsid w:val="4219017E"/>
    <w:rsid w:val="44125F0B"/>
    <w:rsid w:val="444C541D"/>
    <w:rsid w:val="445B7546"/>
    <w:rsid w:val="44B45509"/>
    <w:rsid w:val="4579435C"/>
    <w:rsid w:val="468C0A10"/>
    <w:rsid w:val="472A38FB"/>
    <w:rsid w:val="4DB55B31"/>
    <w:rsid w:val="4DC44E0B"/>
    <w:rsid w:val="4E520DFC"/>
    <w:rsid w:val="4F8E288E"/>
    <w:rsid w:val="55E53AA9"/>
    <w:rsid w:val="57486147"/>
    <w:rsid w:val="583A7DB4"/>
    <w:rsid w:val="5F0008BF"/>
    <w:rsid w:val="611E6009"/>
    <w:rsid w:val="621C3BA5"/>
    <w:rsid w:val="625F7DF4"/>
    <w:rsid w:val="62BD45B7"/>
    <w:rsid w:val="646E16F6"/>
    <w:rsid w:val="6B915E48"/>
    <w:rsid w:val="6C8E6CB3"/>
    <w:rsid w:val="6D0D7148"/>
    <w:rsid w:val="6E655F4C"/>
    <w:rsid w:val="6FC1085F"/>
    <w:rsid w:val="73F94F24"/>
    <w:rsid w:val="744D678C"/>
    <w:rsid w:val="75632293"/>
    <w:rsid w:val="7784643E"/>
    <w:rsid w:val="788D6F36"/>
    <w:rsid w:val="78B64424"/>
    <w:rsid w:val="7B235D7A"/>
    <w:rsid w:val="7B531AAE"/>
    <w:rsid w:val="7BB22C9D"/>
    <w:rsid w:val="7C0C1444"/>
    <w:rsid w:val="7D391A9C"/>
    <w:rsid w:val="7D45180C"/>
    <w:rsid w:val="7D9B10F6"/>
    <w:rsid w:val="7F1909AD"/>
    <w:rsid w:val="7F7F71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qFormat="1"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520" w:lineRule="exact"/>
      <w:ind w:firstLine="1040" w:firstLineChars="200"/>
      <w:jc w:val="both"/>
    </w:pPr>
    <w:rPr>
      <w:rFonts w:ascii="Times New Roman" w:hAnsi="Times New Roman" w:eastAsia="仿宋_GB2312" w:cs="Times New Roman"/>
      <w:kern w:val="2"/>
      <w:sz w:val="28"/>
      <w:lang w:val="en-US" w:eastAsia="zh-CN" w:bidi="ar-SA"/>
    </w:rPr>
  </w:style>
  <w:style w:type="paragraph" w:styleId="3">
    <w:name w:val="heading 1"/>
    <w:basedOn w:val="1"/>
    <w:next w:val="1"/>
    <w:link w:val="28"/>
    <w:qFormat/>
    <w:uiPriority w:val="0"/>
    <w:pPr>
      <w:keepNext/>
      <w:keepLines/>
      <w:spacing w:line="240" w:lineRule="auto"/>
      <w:ind w:firstLine="0" w:firstLineChars="0"/>
      <w:jc w:val="center"/>
      <w:outlineLvl w:val="0"/>
    </w:pPr>
    <w:rPr>
      <w:rFonts w:eastAsia="方正小标宋_GBK"/>
      <w:b/>
      <w:bCs/>
      <w:kern w:val="44"/>
      <w:sz w:val="44"/>
      <w:szCs w:val="44"/>
    </w:rPr>
  </w:style>
  <w:style w:type="paragraph" w:styleId="4">
    <w:name w:val="heading 2"/>
    <w:basedOn w:val="1"/>
    <w:next w:val="1"/>
    <w:link w:val="30"/>
    <w:unhideWhenUsed/>
    <w:qFormat/>
    <w:uiPriority w:val="9"/>
    <w:pPr>
      <w:keepNext/>
      <w:keepLines/>
      <w:spacing w:line="240" w:lineRule="auto"/>
      <w:ind w:firstLine="0" w:firstLineChars="0"/>
      <w:jc w:val="center"/>
      <w:outlineLvl w:val="1"/>
    </w:pPr>
    <w:rPr>
      <w:rFonts w:ascii="Arial" w:hAnsi="Arial" w:eastAsia="方正仿宋_GBK"/>
      <w:color w:val="000000" w:themeColor="text1"/>
      <w:sz w:val="32"/>
      <w14:textFill>
        <w14:solidFill>
          <w14:schemeClr w14:val="tx1"/>
        </w14:solidFill>
      </w14:textFill>
    </w:rPr>
  </w:style>
  <w:style w:type="paragraph" w:styleId="5">
    <w:name w:val="heading 3"/>
    <w:next w:val="1"/>
    <w:link w:val="29"/>
    <w:qFormat/>
    <w:uiPriority w:val="0"/>
    <w:pPr>
      <w:jc w:val="center"/>
      <w:outlineLvl w:val="2"/>
    </w:pPr>
    <w:rPr>
      <w:rFonts w:ascii="宋体" w:hAnsi="宋体" w:eastAsia="方正小标宋_GBK" w:cs="宋体"/>
      <w:bCs/>
      <w:color w:val="FF0000"/>
      <w:w w:val="95"/>
      <w:sz w:val="72"/>
      <w:szCs w:val="27"/>
      <w:lang w:val="en-US" w:eastAsia="zh-CN" w:bidi="ar-SA"/>
    </w:rPr>
  </w:style>
  <w:style w:type="paragraph" w:styleId="6">
    <w:name w:val="heading 4"/>
    <w:next w:val="1"/>
    <w:unhideWhenUsed/>
    <w:qFormat/>
    <w:uiPriority w:val="9"/>
    <w:pPr>
      <w:keepNext/>
      <w:keepLines/>
      <w:spacing w:line="360" w:lineRule="auto"/>
      <w:jc w:val="center"/>
      <w:outlineLvl w:val="3"/>
    </w:pPr>
    <w:rPr>
      <w:rFonts w:ascii="Arial" w:hAnsi="Arial" w:eastAsia="黑体" w:cstheme="minorBidi"/>
      <w:b/>
      <w:sz w:val="52"/>
      <w:lang w:val="en-US" w:eastAsia="zh-CN" w:bidi="ar-SA"/>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List Bullet 2"/>
    <w:basedOn w:val="1"/>
    <w:unhideWhenUsed/>
    <w:qFormat/>
    <w:uiPriority w:val="0"/>
    <w:pPr>
      <w:numPr>
        <w:ilvl w:val="0"/>
        <w:numId w:val="1"/>
      </w:numPr>
      <w:contextualSpacing/>
    </w:pPr>
    <w:rPr>
      <w:rFonts w:asciiTheme="minorHAnsi" w:hAnsiTheme="minorHAnsi" w:eastAsiaTheme="minorEastAsia" w:cstheme="minorBidi"/>
      <w:sz w:val="21"/>
      <w:szCs w:val="24"/>
    </w:rPr>
  </w:style>
  <w:style w:type="paragraph" w:styleId="7">
    <w:name w:val="Body Text 3"/>
    <w:basedOn w:val="1"/>
    <w:link w:val="39"/>
    <w:qFormat/>
    <w:uiPriority w:val="0"/>
    <w:pPr>
      <w:widowControl/>
      <w:spacing w:line="480" w:lineRule="atLeast"/>
    </w:pPr>
    <w:rPr>
      <w:rFonts w:hint="eastAsia" w:ascii="仿宋_GB2312"/>
      <w:kern w:val="0"/>
      <w:sz w:val="30"/>
    </w:rPr>
  </w:style>
  <w:style w:type="paragraph" w:styleId="8">
    <w:name w:val="Body Text"/>
    <w:basedOn w:val="1"/>
    <w:link w:val="37"/>
    <w:qFormat/>
    <w:uiPriority w:val="0"/>
    <w:rPr>
      <w:rFonts w:ascii="仿宋_GB2312" w:hAnsi="华文中宋"/>
      <w:color w:val="000000"/>
      <w:szCs w:val="22"/>
      <w:shd w:val="clear" w:color="auto" w:fill="FFFFFF"/>
    </w:rPr>
  </w:style>
  <w:style w:type="paragraph" w:styleId="9">
    <w:name w:val="Body Text Indent"/>
    <w:basedOn w:val="1"/>
    <w:link w:val="34"/>
    <w:qFormat/>
    <w:uiPriority w:val="0"/>
    <w:pPr>
      <w:spacing w:line="540" w:lineRule="exact"/>
      <w:ind w:firstLine="600"/>
    </w:pPr>
    <w:rPr>
      <w:rFonts w:ascii="楷体_GB2312" w:eastAsia="楷体_GB2312"/>
    </w:rPr>
  </w:style>
  <w:style w:type="paragraph" w:styleId="10">
    <w:name w:val="toc 3"/>
    <w:basedOn w:val="1"/>
    <w:next w:val="1"/>
    <w:semiHidden/>
    <w:unhideWhenUsed/>
    <w:qFormat/>
    <w:uiPriority w:val="39"/>
    <w:pPr>
      <w:ind w:left="840" w:leftChars="400"/>
    </w:pPr>
  </w:style>
  <w:style w:type="paragraph" w:styleId="11">
    <w:name w:val="Plain Text"/>
    <w:basedOn w:val="1"/>
    <w:link w:val="35"/>
    <w:qFormat/>
    <w:uiPriority w:val="0"/>
    <w:rPr>
      <w:rFonts w:ascii="宋体" w:hAnsi="Courier New" w:eastAsia="宋体" w:cs="Courier New"/>
      <w:sz w:val="21"/>
      <w:szCs w:val="21"/>
    </w:rPr>
  </w:style>
  <w:style w:type="paragraph" w:styleId="12">
    <w:name w:val="Date"/>
    <w:basedOn w:val="1"/>
    <w:next w:val="1"/>
    <w:link w:val="41"/>
    <w:qFormat/>
    <w:uiPriority w:val="0"/>
    <w:rPr>
      <w:rFonts w:ascii="仿宋_GB2312"/>
      <w:szCs w:val="32"/>
    </w:rPr>
  </w:style>
  <w:style w:type="paragraph" w:styleId="13">
    <w:name w:val="Body Text Indent 2"/>
    <w:basedOn w:val="1"/>
    <w:link w:val="36"/>
    <w:qFormat/>
    <w:uiPriority w:val="0"/>
    <w:pPr>
      <w:adjustRightInd w:val="0"/>
      <w:snapToGrid w:val="0"/>
      <w:spacing w:before="120" w:beforeLines="50" w:beforeAutospacing="1" w:after="120" w:afterLines="50" w:afterAutospacing="1" w:line="480" w:lineRule="exact"/>
      <w:ind w:firstLine="600"/>
    </w:pPr>
    <w:rPr>
      <w:sz w:val="30"/>
    </w:rPr>
  </w:style>
  <w:style w:type="paragraph" w:styleId="14">
    <w:name w:val="Balloon Text"/>
    <w:basedOn w:val="1"/>
    <w:link w:val="50"/>
    <w:qFormat/>
    <w:uiPriority w:val="0"/>
    <w:rPr>
      <w:sz w:val="18"/>
      <w:szCs w:val="18"/>
    </w:rPr>
  </w:style>
  <w:style w:type="paragraph" w:styleId="15">
    <w:name w:val="footer"/>
    <w:basedOn w:val="1"/>
    <w:link w:val="31"/>
    <w:qFormat/>
    <w:uiPriority w:val="99"/>
    <w:pPr>
      <w:tabs>
        <w:tab w:val="center" w:pos="4153"/>
        <w:tab w:val="right" w:pos="8306"/>
      </w:tabs>
      <w:snapToGrid w:val="0"/>
      <w:jc w:val="left"/>
    </w:pPr>
    <w:rPr>
      <w:sz w:val="18"/>
      <w:szCs w:val="18"/>
    </w:rPr>
  </w:style>
  <w:style w:type="paragraph" w:styleId="16">
    <w:name w:val="header"/>
    <w:basedOn w:val="1"/>
    <w:link w:val="32"/>
    <w:unhideWhenUsed/>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semiHidden/>
    <w:unhideWhenUsed/>
    <w:qFormat/>
    <w:uiPriority w:val="39"/>
  </w:style>
  <w:style w:type="paragraph" w:styleId="18">
    <w:name w:val="toc 2"/>
    <w:basedOn w:val="1"/>
    <w:next w:val="1"/>
    <w:semiHidden/>
    <w:unhideWhenUsed/>
    <w:qFormat/>
    <w:uiPriority w:val="39"/>
    <w:pPr>
      <w:ind w:left="420" w:leftChars="200"/>
    </w:pPr>
  </w:style>
  <w:style w:type="paragraph" w:styleId="19">
    <w:name w:val="Body Text 2"/>
    <w:basedOn w:val="1"/>
    <w:link w:val="40"/>
    <w:qFormat/>
    <w:uiPriority w:val="0"/>
    <w:rPr>
      <w:rFonts w:eastAsia="宋体"/>
      <w:szCs w:val="24"/>
    </w:rPr>
  </w:style>
  <w:style w:type="paragraph" w:styleId="20">
    <w:name w:val="Normal (Web)"/>
    <w:basedOn w:val="1"/>
    <w:qFormat/>
    <w:uiPriority w:val="0"/>
    <w:pPr>
      <w:widowControl/>
      <w:spacing w:before="100" w:beforeAutospacing="1" w:after="100" w:afterAutospacing="1"/>
      <w:jc w:val="left"/>
    </w:pPr>
    <w:rPr>
      <w:rFonts w:ascii="宋体" w:hAnsi="宋体" w:eastAsia="宋体" w:cs="宋体"/>
      <w:kern w:val="0"/>
      <w:sz w:val="24"/>
      <w:szCs w:val="32"/>
    </w:rPr>
  </w:style>
  <w:style w:type="paragraph" w:styleId="21">
    <w:name w:val="Title"/>
    <w:basedOn w:val="1"/>
    <w:next w:val="1"/>
    <w:link w:val="59"/>
    <w:qFormat/>
    <w:uiPriority w:val="0"/>
    <w:pPr>
      <w:spacing w:before="240" w:after="60"/>
      <w:jc w:val="center"/>
      <w:outlineLvl w:val="0"/>
    </w:pPr>
    <w:rPr>
      <w:rFonts w:ascii="Cambria" w:hAnsi="Cambria" w:eastAsia="宋体"/>
      <w:b/>
      <w:bCs/>
      <w:szCs w:val="32"/>
    </w:rPr>
  </w:style>
  <w:style w:type="table" w:styleId="23">
    <w:name w:val="Table Grid"/>
    <w:basedOn w:val="22"/>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bCs/>
    </w:rPr>
  </w:style>
  <w:style w:type="character" w:styleId="26">
    <w:name w:val="page number"/>
    <w:basedOn w:val="24"/>
    <w:qFormat/>
    <w:uiPriority w:val="0"/>
  </w:style>
  <w:style w:type="character" w:styleId="27">
    <w:name w:val="Hyperlink"/>
    <w:basedOn w:val="24"/>
    <w:qFormat/>
    <w:uiPriority w:val="0"/>
    <w:rPr>
      <w:color w:val="000000"/>
      <w:u w:val="none"/>
    </w:rPr>
  </w:style>
  <w:style w:type="character" w:customStyle="1" w:styleId="28">
    <w:name w:val="标题 1 字符1"/>
    <w:link w:val="3"/>
    <w:qFormat/>
    <w:locked/>
    <w:uiPriority w:val="0"/>
    <w:rPr>
      <w:rFonts w:ascii="Times New Roman" w:hAnsi="Times New Roman" w:eastAsia="方正小标宋_GBK" w:cs="Times New Roman"/>
      <w:b/>
      <w:bCs/>
      <w:kern w:val="44"/>
      <w:sz w:val="44"/>
      <w:szCs w:val="44"/>
    </w:rPr>
  </w:style>
  <w:style w:type="character" w:customStyle="1" w:styleId="29">
    <w:name w:val="标题 3 字符"/>
    <w:basedOn w:val="24"/>
    <w:link w:val="5"/>
    <w:qFormat/>
    <w:uiPriority w:val="0"/>
    <w:rPr>
      <w:rFonts w:ascii="宋体" w:hAnsi="宋体" w:eastAsia="方正小标宋_GBK" w:cs="宋体"/>
      <w:bCs/>
      <w:color w:val="FF0000"/>
      <w:w w:val="95"/>
      <w:kern w:val="0"/>
      <w:sz w:val="72"/>
      <w:szCs w:val="27"/>
    </w:rPr>
  </w:style>
  <w:style w:type="character" w:customStyle="1" w:styleId="30">
    <w:name w:val="标题 2 字符"/>
    <w:link w:val="4"/>
    <w:qFormat/>
    <w:uiPriority w:val="0"/>
    <w:rPr>
      <w:rFonts w:ascii="Arial" w:hAnsi="Arial" w:eastAsia="方正仿宋_GBK"/>
      <w:color w:val="000000" w:themeColor="text1"/>
      <w:w w:val="100"/>
      <w:sz w:val="32"/>
      <w14:textFill>
        <w14:solidFill>
          <w14:schemeClr w14:val="tx1"/>
        </w14:solidFill>
      </w14:textFill>
    </w:rPr>
  </w:style>
  <w:style w:type="character" w:customStyle="1" w:styleId="31">
    <w:name w:val="页脚 字符"/>
    <w:basedOn w:val="24"/>
    <w:link w:val="15"/>
    <w:qFormat/>
    <w:uiPriority w:val="99"/>
    <w:rPr>
      <w:rFonts w:ascii="Times New Roman" w:hAnsi="Times New Roman" w:eastAsia="仿宋_GB2312" w:cs="Times New Roman"/>
      <w:sz w:val="18"/>
      <w:szCs w:val="18"/>
    </w:rPr>
  </w:style>
  <w:style w:type="character" w:customStyle="1" w:styleId="32">
    <w:name w:val="页眉 字符"/>
    <w:basedOn w:val="24"/>
    <w:link w:val="16"/>
    <w:qFormat/>
    <w:uiPriority w:val="0"/>
    <w:rPr>
      <w:rFonts w:ascii="Times New Roman" w:hAnsi="Times New Roman" w:eastAsia="仿宋_GB2312" w:cs="Times New Roman"/>
      <w:sz w:val="18"/>
      <w:szCs w:val="18"/>
    </w:rPr>
  </w:style>
  <w:style w:type="character" w:customStyle="1" w:styleId="33">
    <w:name w:val="页眉 Char"/>
    <w:basedOn w:val="24"/>
    <w:qFormat/>
    <w:uiPriority w:val="0"/>
    <w:rPr>
      <w:rFonts w:eastAsia="仿宋_GB2312"/>
      <w:kern w:val="2"/>
      <w:sz w:val="18"/>
      <w:szCs w:val="18"/>
    </w:rPr>
  </w:style>
  <w:style w:type="character" w:customStyle="1" w:styleId="34">
    <w:name w:val="正文文本缩进 字符"/>
    <w:basedOn w:val="24"/>
    <w:link w:val="9"/>
    <w:qFormat/>
    <w:uiPriority w:val="0"/>
    <w:rPr>
      <w:rFonts w:ascii="楷体_GB2312" w:hAnsi="Times New Roman" w:eastAsia="楷体_GB2312" w:cs="Times New Roman"/>
      <w:sz w:val="32"/>
      <w:szCs w:val="20"/>
    </w:rPr>
  </w:style>
  <w:style w:type="character" w:customStyle="1" w:styleId="35">
    <w:name w:val="纯文本 字符"/>
    <w:basedOn w:val="24"/>
    <w:link w:val="11"/>
    <w:qFormat/>
    <w:uiPriority w:val="0"/>
    <w:rPr>
      <w:rFonts w:ascii="宋体" w:hAnsi="Courier New" w:eastAsia="宋体" w:cs="Courier New"/>
      <w:szCs w:val="21"/>
    </w:rPr>
  </w:style>
  <w:style w:type="character" w:customStyle="1" w:styleId="36">
    <w:name w:val="正文文本缩进 2 字符"/>
    <w:basedOn w:val="24"/>
    <w:link w:val="13"/>
    <w:qFormat/>
    <w:uiPriority w:val="0"/>
    <w:rPr>
      <w:rFonts w:ascii="Times New Roman" w:hAnsi="Times New Roman" w:eastAsia="仿宋_GB2312" w:cs="Times New Roman"/>
      <w:sz w:val="30"/>
      <w:szCs w:val="20"/>
    </w:rPr>
  </w:style>
  <w:style w:type="character" w:customStyle="1" w:styleId="37">
    <w:name w:val="正文文本 字符1"/>
    <w:basedOn w:val="24"/>
    <w:link w:val="8"/>
    <w:qFormat/>
    <w:uiPriority w:val="0"/>
    <w:rPr>
      <w:rFonts w:ascii="仿宋_GB2312" w:hAnsi="华文中宋" w:eastAsia="仿宋_GB2312" w:cs="Times New Roman"/>
      <w:color w:val="000000"/>
      <w:sz w:val="32"/>
    </w:rPr>
  </w:style>
  <w:style w:type="character" w:customStyle="1" w:styleId="38">
    <w:name w:val="正文文本 字符"/>
    <w:basedOn w:val="24"/>
    <w:qFormat/>
    <w:uiPriority w:val="0"/>
    <w:rPr>
      <w:rFonts w:ascii="Times New Roman" w:hAnsi="Times New Roman" w:eastAsia="仿宋_GB2312" w:cs="Times New Roman"/>
      <w:sz w:val="32"/>
      <w:szCs w:val="20"/>
    </w:rPr>
  </w:style>
  <w:style w:type="character" w:customStyle="1" w:styleId="39">
    <w:name w:val="正文文本 3 字符"/>
    <w:basedOn w:val="24"/>
    <w:link w:val="7"/>
    <w:qFormat/>
    <w:uiPriority w:val="0"/>
    <w:rPr>
      <w:rFonts w:ascii="仿宋_GB2312" w:hAnsi="Times New Roman" w:eastAsia="仿宋_GB2312" w:cs="Times New Roman"/>
      <w:kern w:val="0"/>
      <w:sz w:val="30"/>
      <w:szCs w:val="20"/>
    </w:rPr>
  </w:style>
  <w:style w:type="character" w:customStyle="1" w:styleId="40">
    <w:name w:val="正文文本 2 字符"/>
    <w:basedOn w:val="24"/>
    <w:link w:val="19"/>
    <w:qFormat/>
    <w:uiPriority w:val="0"/>
    <w:rPr>
      <w:rFonts w:ascii="Times New Roman" w:hAnsi="Times New Roman" w:eastAsia="宋体" w:cs="Times New Roman"/>
      <w:sz w:val="32"/>
      <w:szCs w:val="24"/>
    </w:rPr>
  </w:style>
  <w:style w:type="character" w:customStyle="1" w:styleId="41">
    <w:name w:val="日期 字符"/>
    <w:basedOn w:val="24"/>
    <w:link w:val="12"/>
    <w:qFormat/>
    <w:uiPriority w:val="0"/>
    <w:rPr>
      <w:rFonts w:ascii="仿宋_GB2312" w:hAnsi="Times New Roman" w:eastAsia="仿宋_GB2312" w:cs="Times New Roman"/>
      <w:sz w:val="32"/>
      <w:szCs w:val="32"/>
    </w:rPr>
  </w:style>
  <w:style w:type="paragraph" w:customStyle="1" w:styleId="42">
    <w:name w:val="节标题"/>
    <w:basedOn w:val="1"/>
    <w:next w:val="1"/>
    <w:qFormat/>
    <w:uiPriority w:val="0"/>
    <w:pPr>
      <w:widowControl/>
      <w:spacing w:line="289" w:lineRule="atLeast"/>
      <w:jc w:val="center"/>
    </w:pPr>
    <w:rPr>
      <w:rFonts w:ascii="仿宋_GB2312" w:eastAsia="宋体"/>
      <w:color w:val="000000"/>
      <w:kern w:val="0"/>
      <w:szCs w:val="32"/>
      <w:u w:color="000000"/>
    </w:rPr>
  </w:style>
  <w:style w:type="paragraph" w:customStyle="1" w:styleId="43">
    <w:name w:val="章标题"/>
    <w:basedOn w:val="1"/>
    <w:next w:val="42"/>
    <w:qFormat/>
    <w:uiPriority w:val="0"/>
    <w:pPr>
      <w:widowControl/>
      <w:spacing w:before="158" w:after="153" w:line="323" w:lineRule="atLeast"/>
      <w:jc w:val="center"/>
    </w:pPr>
    <w:rPr>
      <w:rFonts w:ascii="Arial" w:eastAsia="黑体"/>
      <w:color w:val="000000"/>
      <w:kern w:val="0"/>
      <w:sz w:val="31"/>
      <w:szCs w:val="32"/>
      <w:u w:color="000000"/>
    </w:rPr>
  </w:style>
  <w:style w:type="paragraph" w:customStyle="1" w:styleId="44">
    <w:name w:val="文章附标题"/>
    <w:basedOn w:val="1"/>
    <w:next w:val="43"/>
    <w:qFormat/>
    <w:uiPriority w:val="0"/>
    <w:pPr>
      <w:widowControl/>
      <w:spacing w:before="187" w:after="175" w:line="374" w:lineRule="atLeast"/>
      <w:jc w:val="center"/>
    </w:pPr>
    <w:rPr>
      <w:rFonts w:ascii="仿宋_GB2312" w:eastAsia="宋体"/>
      <w:color w:val="000000"/>
      <w:kern w:val="0"/>
      <w:sz w:val="36"/>
      <w:szCs w:val="32"/>
      <w:u w:color="000000"/>
    </w:rPr>
  </w:style>
  <w:style w:type="character" w:customStyle="1" w:styleId="45">
    <w:name w:val="正文文本 2 Char"/>
    <w:basedOn w:val="24"/>
    <w:qFormat/>
    <w:uiPriority w:val="0"/>
    <w:rPr>
      <w:rFonts w:hint="eastAsia" w:ascii="宋体" w:hAnsi="宋体" w:eastAsia="宋体"/>
      <w:kern w:val="2"/>
      <w:sz w:val="28"/>
      <w:szCs w:val="24"/>
      <w:lang w:val="en-US" w:eastAsia="zh-CN" w:bidi="ar-SA"/>
    </w:rPr>
  </w:style>
  <w:style w:type="paragraph" w:styleId="46">
    <w:name w:val="List Paragraph"/>
    <w:basedOn w:val="1"/>
    <w:qFormat/>
    <w:uiPriority w:val="34"/>
    <w:pPr>
      <w:ind w:firstLine="420"/>
    </w:pPr>
    <w:rPr>
      <w:rFonts w:ascii="Calibri" w:hAnsi="Calibri" w:eastAsia="宋体"/>
      <w:sz w:val="21"/>
      <w:szCs w:val="22"/>
    </w:rPr>
  </w:style>
  <w:style w:type="paragraph" w:customStyle="1" w:styleId="47">
    <w:name w:val="Heading 41"/>
    <w:basedOn w:val="1"/>
    <w:qFormat/>
    <w:uiPriority w:val="0"/>
    <w:pPr>
      <w:jc w:val="left"/>
      <w:outlineLvl w:val="4"/>
    </w:pPr>
    <w:rPr>
      <w:rFonts w:ascii="宋体" w:hAnsi="宋体" w:eastAsia="宋体" w:cs="宋体"/>
      <w:kern w:val="0"/>
      <w:szCs w:val="32"/>
      <w:lang w:eastAsia="en-US"/>
    </w:rPr>
  </w:style>
  <w:style w:type="paragraph" w:customStyle="1" w:styleId="48">
    <w:name w:val="Heading 71"/>
    <w:basedOn w:val="1"/>
    <w:qFormat/>
    <w:uiPriority w:val="0"/>
    <w:pPr>
      <w:jc w:val="left"/>
      <w:outlineLvl w:val="7"/>
    </w:pPr>
    <w:rPr>
      <w:rFonts w:ascii="宋体" w:hAnsi="宋体" w:eastAsia="宋体" w:cs="宋体"/>
      <w:kern w:val="0"/>
      <w:szCs w:val="28"/>
      <w:lang w:eastAsia="en-US"/>
    </w:rPr>
  </w:style>
  <w:style w:type="paragraph" w:customStyle="1" w:styleId="49">
    <w:name w:val="Table Paragraph"/>
    <w:basedOn w:val="1"/>
    <w:qFormat/>
    <w:uiPriority w:val="0"/>
    <w:pPr>
      <w:jc w:val="left"/>
    </w:pPr>
    <w:rPr>
      <w:rFonts w:ascii="Calibri" w:hAnsi="Calibri" w:eastAsia="宋体" w:cs="Calibri"/>
      <w:kern w:val="0"/>
      <w:sz w:val="22"/>
      <w:szCs w:val="22"/>
      <w:lang w:eastAsia="en-US"/>
    </w:rPr>
  </w:style>
  <w:style w:type="character" w:customStyle="1" w:styleId="50">
    <w:name w:val="批注框文本 字符"/>
    <w:basedOn w:val="24"/>
    <w:link w:val="14"/>
    <w:qFormat/>
    <w:uiPriority w:val="0"/>
    <w:rPr>
      <w:rFonts w:ascii="Times New Roman" w:hAnsi="Times New Roman" w:eastAsia="仿宋_GB2312" w:cs="Times New Roman"/>
      <w:sz w:val="18"/>
      <w:szCs w:val="18"/>
    </w:rPr>
  </w:style>
  <w:style w:type="paragraph" w:customStyle="1" w:styleId="51">
    <w:name w:val="tgt1"/>
    <w:basedOn w:val="1"/>
    <w:qFormat/>
    <w:uiPriority w:val="0"/>
    <w:pPr>
      <w:widowControl/>
      <w:spacing w:after="150"/>
      <w:jc w:val="left"/>
    </w:pPr>
    <w:rPr>
      <w:rFonts w:ascii="宋体" w:hAnsi="宋体" w:eastAsia="宋体" w:cs="宋体"/>
      <w:kern w:val="0"/>
      <w:sz w:val="24"/>
      <w:szCs w:val="24"/>
    </w:rPr>
  </w:style>
  <w:style w:type="paragraph" w:customStyle="1" w:styleId="52">
    <w:name w:val="p0"/>
    <w:basedOn w:val="1"/>
    <w:qFormat/>
    <w:uiPriority w:val="0"/>
    <w:pPr>
      <w:widowControl/>
    </w:pPr>
    <w:rPr>
      <w:rFonts w:ascii="仿宋_GB2312"/>
      <w:kern w:val="0"/>
      <w:szCs w:val="21"/>
    </w:rPr>
  </w:style>
  <w:style w:type="paragraph" w:customStyle="1" w:styleId="53">
    <w:name w:val="p15"/>
    <w:basedOn w:val="1"/>
    <w:qFormat/>
    <w:uiPriority w:val="0"/>
    <w:pPr>
      <w:widowControl/>
    </w:pPr>
    <w:rPr>
      <w:rFonts w:ascii="仿宋_GB2312" w:hAnsi="宋体" w:cs="宋体"/>
      <w:kern w:val="0"/>
      <w:szCs w:val="32"/>
    </w:rPr>
  </w:style>
  <w:style w:type="character" w:customStyle="1" w:styleId="54">
    <w:name w:val="正文文本缩进 Char"/>
    <w:qFormat/>
    <w:uiPriority w:val="0"/>
    <w:rPr>
      <w:rFonts w:hint="eastAsia" w:ascii="仿宋_GB2312" w:eastAsia="仿宋_GB2312"/>
      <w:kern w:val="2"/>
      <w:sz w:val="32"/>
      <w:szCs w:val="32"/>
      <w:lang w:val="en-US" w:eastAsia="zh-CN" w:bidi="ar-SA"/>
    </w:rPr>
  </w:style>
  <w:style w:type="character" w:customStyle="1" w:styleId="55">
    <w:name w:val="标题 1 字符"/>
    <w:basedOn w:val="24"/>
    <w:qFormat/>
    <w:uiPriority w:val="0"/>
    <w:rPr>
      <w:rFonts w:ascii="Times New Roman" w:hAnsi="Times New Roman" w:eastAsia="仿宋_GB2312" w:cs="Times New Roman"/>
      <w:b/>
      <w:bCs/>
      <w:kern w:val="44"/>
      <w:sz w:val="44"/>
      <w:szCs w:val="44"/>
    </w:rPr>
  </w:style>
  <w:style w:type="character" w:customStyle="1" w:styleId="56">
    <w:name w:val="日期 Char"/>
    <w:qFormat/>
    <w:locked/>
    <w:uiPriority w:val="0"/>
    <w:rPr>
      <w:rFonts w:ascii="仿宋_GB2312" w:eastAsia="仿宋_GB2312"/>
      <w:kern w:val="2"/>
      <w:sz w:val="32"/>
      <w:szCs w:val="32"/>
    </w:rPr>
  </w:style>
  <w:style w:type="character" w:customStyle="1" w:styleId="57">
    <w:name w:val="Char Char1"/>
    <w:qFormat/>
    <w:locked/>
    <w:uiPriority w:val="0"/>
    <w:rPr>
      <w:rFonts w:ascii="仿宋_GB2312" w:eastAsia="宋体"/>
      <w:kern w:val="2"/>
      <w:sz w:val="21"/>
      <w:szCs w:val="32"/>
      <w:lang w:val="en-US" w:eastAsia="zh-CN" w:bidi="ar-SA"/>
    </w:rPr>
  </w:style>
  <w:style w:type="character" w:customStyle="1" w:styleId="58">
    <w:name w:val="Char Char"/>
    <w:qFormat/>
    <w:uiPriority w:val="0"/>
    <w:rPr>
      <w:rFonts w:ascii="仿宋_GB2312" w:eastAsia="宋体"/>
      <w:kern w:val="2"/>
      <w:sz w:val="21"/>
      <w:szCs w:val="32"/>
      <w:lang w:val="en-US" w:eastAsia="zh-CN" w:bidi="ar-SA"/>
    </w:rPr>
  </w:style>
  <w:style w:type="character" w:customStyle="1" w:styleId="59">
    <w:name w:val="标题 字符"/>
    <w:basedOn w:val="24"/>
    <w:link w:val="21"/>
    <w:qFormat/>
    <w:uiPriority w:val="0"/>
    <w:rPr>
      <w:rFonts w:ascii="Cambria" w:hAnsi="Cambria" w:eastAsia="宋体" w:cs="Times New Roman"/>
      <w:b/>
      <w:bCs/>
      <w:sz w:val="32"/>
      <w:szCs w:val="32"/>
    </w:rPr>
  </w:style>
  <w:style w:type="character" w:customStyle="1" w:styleId="60">
    <w:name w:val="Char Char11"/>
    <w:qFormat/>
    <w:locked/>
    <w:uiPriority w:val="0"/>
    <w:rPr>
      <w:rFonts w:ascii="仿宋_GB2312" w:eastAsia="仿宋_GB2312"/>
      <w:kern w:val="2"/>
      <w:sz w:val="32"/>
      <w:szCs w:val="32"/>
      <w:lang w:val="en-US" w:eastAsia="zh-CN" w:bidi="ar-SA"/>
    </w:rPr>
  </w:style>
  <w:style w:type="character" w:customStyle="1" w:styleId="61">
    <w:name w:val="样式 四号 左侧:  0 厘米 Char"/>
    <w:qFormat/>
    <w:locked/>
    <w:uiPriority w:val="0"/>
    <w:rPr>
      <w:rFonts w:hint="eastAsia" w:ascii="宋体" w:hAnsi="宋体" w:eastAsia="宋体" w:cs="宋体"/>
      <w:kern w:val="2"/>
      <w:sz w:val="28"/>
      <w:lang w:val="en-US" w:eastAsia="zh-CN" w:bidi="ar-SA"/>
    </w:rPr>
  </w:style>
  <w:style w:type="character" w:customStyle="1" w:styleId="62">
    <w:name w:val="Char Char2"/>
    <w:qFormat/>
    <w:locked/>
    <w:uiPriority w:val="0"/>
    <w:rPr>
      <w:rFonts w:ascii="仿宋_GB2312" w:eastAsia="宋体"/>
      <w:kern w:val="2"/>
      <w:sz w:val="21"/>
      <w:szCs w:val="32"/>
      <w:lang w:val="en-US" w:eastAsia="zh-CN" w:bidi="ar-SA"/>
    </w:rPr>
  </w:style>
  <w:style w:type="paragraph" w:customStyle="1" w:styleId="63">
    <w:name w:val="Default"/>
    <w:qFormat/>
    <w:uiPriority w:val="0"/>
    <w:pPr>
      <w:widowControl w:val="0"/>
      <w:autoSpaceDE w:val="0"/>
      <w:autoSpaceDN w:val="0"/>
      <w:adjustRightInd w:val="0"/>
    </w:pPr>
    <w:rPr>
      <w:rFonts w:ascii="宋体ē,..." w:hAnsi="Calibri" w:eastAsia="宋体ē,..." w:cs="宋体ē,..."/>
      <w:color w:val="000000"/>
      <w:sz w:val="24"/>
      <w:szCs w:val="24"/>
      <w:lang w:val="en-US" w:eastAsia="zh-CN" w:bidi="ar-SA"/>
    </w:rPr>
  </w:style>
  <w:style w:type="character" w:customStyle="1" w:styleId="64">
    <w:name w:val="正文文本 Char"/>
    <w:qFormat/>
    <w:uiPriority w:val="0"/>
    <w:rPr>
      <w:rFonts w:ascii="仿宋_GB2312" w:hAnsi="华文中宋" w:eastAsia="仿宋_GB2312"/>
      <w:color w:val="000000"/>
      <w:kern w:val="2"/>
      <w:sz w:val="32"/>
      <w:szCs w:val="22"/>
    </w:rPr>
  </w:style>
  <w:style w:type="character" w:customStyle="1" w:styleId="65">
    <w:name w:val="页脚 Char"/>
    <w:qFormat/>
    <w:uiPriority w:val="99"/>
    <w:rPr>
      <w:rFonts w:eastAsia="仿宋_GB2312"/>
      <w:kern w:val="2"/>
      <w:sz w:val="18"/>
      <w:szCs w:val="18"/>
    </w:rPr>
  </w:style>
  <w:style w:type="paragraph" w:customStyle="1" w:styleId="66">
    <w:name w:val="msonormalcxspmidd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7">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68">
    <w:name w:val="WPSOffice手动目录 1"/>
    <w:qFormat/>
    <w:uiPriority w:val="0"/>
    <w:rPr>
      <w:rFonts w:asciiTheme="minorHAnsi" w:hAnsiTheme="minorHAnsi" w:eastAsiaTheme="minorEastAsia" w:cstheme="minorBidi"/>
      <w:lang w:val="en-US" w:eastAsia="zh-CN" w:bidi="ar-SA"/>
    </w:rPr>
  </w:style>
  <w:style w:type="paragraph" w:customStyle="1" w:styleId="69">
    <w:name w:val="WPSOffice手动目录 3"/>
    <w:qFormat/>
    <w:uiPriority w:val="0"/>
    <w:pPr>
      <w:ind w:left="400" w:leftChars="400"/>
    </w:pPr>
    <w:rPr>
      <w:rFonts w:asciiTheme="minorHAnsi" w:hAnsiTheme="minorHAnsi" w:eastAsiaTheme="minorEastAsia" w:cstheme="minorBidi"/>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wmf"/><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http://www.jszj.com.cn/zaojia/uploadfile/20140903130123001.jpg" TargetMode="External"/><Relationship Id="rId43" Type="http://schemas.openxmlformats.org/officeDocument/2006/relationships/image" Target="media/image17.jpeg"/><Relationship Id="rId42" Type="http://schemas.openxmlformats.org/officeDocument/2006/relationships/image" Target="media/image16.png"/><Relationship Id="rId41" Type="http://schemas.openxmlformats.org/officeDocument/2006/relationships/image" Target="media/image15.png"/><Relationship Id="rId40" Type="http://schemas.openxmlformats.org/officeDocument/2006/relationships/image" Target="media/image14.png"/><Relationship Id="rId4" Type="http://schemas.openxmlformats.org/officeDocument/2006/relationships/endnotes" Target="endnotes.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wmf"/><Relationship Id="rId31" Type="http://schemas.openxmlformats.org/officeDocument/2006/relationships/image" Target="media/image5.emf"/><Relationship Id="rId30" Type="http://schemas.openxmlformats.org/officeDocument/2006/relationships/image" Target="media/image4.emf"/><Relationship Id="rId3" Type="http://schemas.openxmlformats.org/officeDocument/2006/relationships/footnotes" Target="footnotes.xml"/><Relationship Id="rId29" Type="http://schemas.openxmlformats.org/officeDocument/2006/relationships/image" Target="media/image3.emf"/><Relationship Id="rId28" Type="http://schemas.openxmlformats.org/officeDocument/2006/relationships/image" Target="media/image2.emf"/><Relationship Id="rId27" Type="http://schemas.openxmlformats.org/officeDocument/2006/relationships/image" Target="media/image1.png"/><Relationship Id="rId26" Type="http://schemas.openxmlformats.org/officeDocument/2006/relationships/theme" Target="theme/theme1.xml"/><Relationship Id="rId25" Type="http://schemas.openxmlformats.org/officeDocument/2006/relationships/footer" Target="footer15.xml"/><Relationship Id="rId24" Type="http://schemas.openxmlformats.org/officeDocument/2006/relationships/footer" Target="footer14.xml"/><Relationship Id="rId23" Type="http://schemas.openxmlformats.org/officeDocument/2006/relationships/footer" Target="footer13.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6.xml"/><Relationship Id="rId17" Type="http://schemas.openxmlformats.org/officeDocument/2006/relationships/header" Target="header5.xml"/><Relationship Id="rId16" Type="http://schemas.openxmlformats.org/officeDocument/2006/relationships/header" Target="header4.xml"/><Relationship Id="rId150" Type="http://schemas.openxmlformats.org/officeDocument/2006/relationships/fontTable" Target="fontTable.xml"/><Relationship Id="rId15" Type="http://schemas.openxmlformats.org/officeDocument/2006/relationships/footer" Target="footer8.xml"/><Relationship Id="rId149" Type="http://schemas.openxmlformats.org/officeDocument/2006/relationships/customXml" Target="../customXml/item2.xml"/><Relationship Id="rId148" Type="http://schemas.openxmlformats.org/officeDocument/2006/relationships/numbering" Target="numbering.xml"/><Relationship Id="rId147" Type="http://schemas.openxmlformats.org/officeDocument/2006/relationships/customXml" Target="../customXml/item1.xml"/><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7.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footer" Target="foot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footer" Target="foot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footer" Target="foot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79F359E-497E-4C31-8429-7888EAF45E37}">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296</Pages>
  <Words>13438</Words>
  <Characters>76600</Characters>
  <Lines>638</Lines>
  <Paragraphs>179</Paragraphs>
  <TotalTime>8</TotalTime>
  <ScaleCrop>false</ScaleCrop>
  <LinksUpToDate>false</LinksUpToDate>
  <CharactersWithSpaces>89859</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2021-09-17T05:52:00Z</dcterms:created>
  <dc:creator>ZL</dc:creator>
  <cp:lastModifiedBy>徐国明</cp:lastModifiedBy>
  <dcterms:modified xsi:type="dcterms:W3CDTF">2022-01-20T06:47:52Z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9B2C91B5C986483C941527461D30C477</vt:lpwstr>
  </property>
</Properties>
</file>